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jc w:val="center"/>
        <w:rPr>
          <w:rFonts w:ascii="Times New Roman" w:hAnsi="Times New Roman" w:eastAsia="仿宋" w:cs="Times New Roman"/>
          <w:b/>
          <w:bCs/>
          <w:sz w:val="44"/>
          <w:szCs w:val="44"/>
        </w:rPr>
      </w:pPr>
      <w:bookmarkStart w:id="28" w:name="_GoBack"/>
      <w:bookmarkEnd w:id="28"/>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r>
        <w:rPr>
          <w:rFonts w:ascii="Times New Roman" w:hAnsi="Times New Roman" w:eastAsia="仿宋" w:cs="Times New Roman"/>
          <w:b/>
          <w:bCs/>
          <w:sz w:val="44"/>
          <w:szCs w:val="44"/>
        </w:rPr>
        <w:t>云城区自然保护地进一步整合优化</w:t>
      </w:r>
      <w:r>
        <w:rPr>
          <w:rFonts w:hint="eastAsia" w:ascii="Times New Roman" w:hAnsi="Times New Roman" w:eastAsia="仿宋" w:cs="Times New Roman"/>
          <w:b/>
          <w:bCs/>
          <w:sz w:val="44"/>
          <w:szCs w:val="44"/>
          <w:lang w:eastAsia="zh-CN"/>
        </w:rPr>
        <w:t>方</w:t>
      </w:r>
      <w:r>
        <w:rPr>
          <w:rFonts w:ascii="Times New Roman" w:hAnsi="Times New Roman" w:eastAsia="仿宋" w:cs="Times New Roman"/>
          <w:b/>
          <w:bCs/>
          <w:sz w:val="44"/>
          <w:szCs w:val="44"/>
        </w:rPr>
        <w:t>案</w:t>
      </w: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44"/>
          <w:szCs w:val="44"/>
        </w:rPr>
      </w:pPr>
    </w:p>
    <w:p>
      <w:pPr>
        <w:spacing w:beforeLines="50" w:afterLines="50"/>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云城区林业局</w:t>
      </w:r>
    </w:p>
    <w:p>
      <w:pPr>
        <w:rPr>
          <w:rFonts w:ascii="Times New Roman" w:hAnsi="Times New Roman" w:eastAsia="仿宋" w:cs="Times New Roman"/>
          <w:sz w:val="32"/>
          <w:szCs w:val="40"/>
        </w:rPr>
      </w:pPr>
      <w:r>
        <w:rPr>
          <w:rFonts w:ascii="Times New Roman" w:hAnsi="Times New Roman" w:eastAsia="仿宋" w:cs="Times New Roman"/>
          <w:sz w:val="32"/>
          <w:szCs w:val="40"/>
        </w:rPr>
        <w:br w:type="page"/>
      </w:r>
    </w:p>
    <w:sdt>
      <w:sdtPr>
        <w:rPr>
          <w:rFonts w:ascii="Times New Roman" w:hAnsi="Times New Roman" w:eastAsia="仿宋" w:cs="Times New Roman"/>
          <w:b/>
          <w:bCs/>
          <w:sz w:val="44"/>
          <w:szCs w:val="44"/>
        </w:rPr>
        <w:id w:val="147464530"/>
        <w:docPartObj>
          <w:docPartGallery w:val="Table of Contents"/>
          <w:docPartUnique/>
        </w:docPartObj>
      </w:sdtPr>
      <w:sdtEndPr>
        <w:rPr>
          <w:rFonts w:ascii="Times New Roman" w:hAnsi="Times New Roman" w:eastAsia="仿宋" w:cs="Times New Roman"/>
          <w:b/>
          <w:bCs/>
          <w:sz w:val="44"/>
          <w:szCs w:val="44"/>
        </w:rPr>
      </w:sdtEndPr>
      <w:sdtContent>
        <w:p>
          <w:pPr>
            <w:jc w:val="center"/>
            <w:rPr>
              <w:rFonts w:ascii="Times New Roman" w:hAnsi="Times New Roman" w:eastAsia="仿宋" w:cs="Times New Roman"/>
              <w:b/>
              <w:bCs/>
              <w:sz w:val="44"/>
              <w:szCs w:val="44"/>
            </w:rPr>
          </w:pPr>
          <w:r>
            <w:rPr>
              <w:rFonts w:ascii="Times New Roman" w:hAnsi="Times New Roman" w:eastAsia="仿宋" w:cs="Times New Roman"/>
              <w:b/>
              <w:bCs/>
              <w:sz w:val="44"/>
              <w:szCs w:val="44"/>
            </w:rPr>
            <w:t>目 录</w:t>
          </w:r>
        </w:p>
        <w:p>
          <w:pPr>
            <w:pStyle w:val="7"/>
            <w:tabs>
              <w:tab w:val="right" w:leader="dot" w:pos="8788"/>
            </w:tabs>
            <w:rPr>
              <w:sz w:val="28"/>
              <w:szCs w:val="28"/>
            </w:rPr>
          </w:pPr>
          <w:r>
            <w:rPr>
              <w:rFonts w:ascii="Times New Roman" w:hAnsi="Times New Roman" w:eastAsia="仿宋" w:cs="Times New Roman"/>
              <w:sz w:val="28"/>
              <w:szCs w:val="28"/>
            </w:rPr>
            <w:fldChar w:fldCharType="begin"/>
          </w:r>
          <w:r>
            <w:rPr>
              <w:rFonts w:ascii="Times New Roman" w:hAnsi="Times New Roman" w:eastAsia="仿宋" w:cs="Times New Roman"/>
              <w:sz w:val="28"/>
              <w:szCs w:val="28"/>
            </w:rPr>
            <w:instrText xml:space="preserve">TOC \o "1-3" \h \u </w:instrText>
          </w:r>
          <w:r>
            <w:rPr>
              <w:rFonts w:ascii="Times New Roman" w:hAnsi="Times New Roman" w:eastAsia="仿宋" w:cs="Times New Roman"/>
              <w:sz w:val="28"/>
              <w:szCs w:val="28"/>
            </w:rPr>
            <w:fldChar w:fldCharType="separate"/>
          </w:r>
          <w:r>
            <w:fldChar w:fldCharType="begin"/>
          </w:r>
          <w:r>
            <w:instrText xml:space="preserve"> HYPERLINK \l "_Toc614" </w:instrText>
          </w:r>
          <w:r>
            <w:fldChar w:fldCharType="separate"/>
          </w:r>
          <w:r>
            <w:rPr>
              <w:rFonts w:ascii="Times New Roman" w:hAnsi="Times New Roman" w:eastAsia="仿宋" w:cs="Times New Roman"/>
              <w:bCs/>
              <w:sz w:val="28"/>
              <w:szCs w:val="28"/>
            </w:rPr>
            <w:t>一、2024年联审后自然保护地整合优化方案结果</w:t>
          </w:r>
          <w:r>
            <w:rPr>
              <w:sz w:val="28"/>
              <w:szCs w:val="28"/>
            </w:rPr>
            <w:tab/>
          </w:r>
          <w:r>
            <w:rPr>
              <w:sz w:val="28"/>
              <w:szCs w:val="28"/>
            </w:rPr>
            <w:fldChar w:fldCharType="begin"/>
          </w:r>
          <w:r>
            <w:rPr>
              <w:sz w:val="28"/>
              <w:szCs w:val="28"/>
            </w:rPr>
            <w:instrText xml:space="preserve"> PAGEREF _Toc614 \h </w:instrText>
          </w:r>
          <w:r>
            <w:rPr>
              <w:sz w:val="28"/>
              <w:szCs w:val="28"/>
            </w:rPr>
            <w:fldChar w:fldCharType="separate"/>
          </w:r>
          <w:r>
            <w:rPr>
              <w:sz w:val="28"/>
              <w:szCs w:val="28"/>
            </w:rPr>
            <w:t>1</w:t>
          </w:r>
          <w:r>
            <w:rPr>
              <w:sz w:val="28"/>
              <w:szCs w:val="28"/>
            </w:rPr>
            <w:fldChar w:fldCharType="end"/>
          </w:r>
          <w:r>
            <w:rPr>
              <w:sz w:val="28"/>
              <w:szCs w:val="28"/>
            </w:rPr>
            <w:fldChar w:fldCharType="end"/>
          </w:r>
        </w:p>
        <w:p>
          <w:pPr>
            <w:pStyle w:val="7"/>
            <w:tabs>
              <w:tab w:val="right" w:leader="dot" w:pos="8788"/>
            </w:tabs>
            <w:rPr>
              <w:sz w:val="28"/>
              <w:szCs w:val="28"/>
            </w:rPr>
          </w:pPr>
          <w:r>
            <w:fldChar w:fldCharType="begin"/>
          </w:r>
          <w:r>
            <w:instrText xml:space="preserve"> HYPERLINK \l "_Toc16260" </w:instrText>
          </w:r>
          <w:r>
            <w:fldChar w:fldCharType="separate"/>
          </w:r>
          <w:r>
            <w:rPr>
              <w:rFonts w:ascii="Times New Roman" w:hAnsi="Times New Roman" w:eastAsia="仿宋" w:cs="Times New Roman"/>
              <w:bCs/>
              <w:sz w:val="28"/>
              <w:szCs w:val="28"/>
            </w:rPr>
            <w:t>二、进一步整合优化后自然保护地结果</w:t>
          </w:r>
          <w:r>
            <w:rPr>
              <w:sz w:val="28"/>
              <w:szCs w:val="28"/>
            </w:rPr>
            <w:tab/>
          </w:r>
          <w:r>
            <w:rPr>
              <w:sz w:val="28"/>
              <w:szCs w:val="28"/>
            </w:rPr>
            <w:fldChar w:fldCharType="begin"/>
          </w:r>
          <w:r>
            <w:rPr>
              <w:sz w:val="28"/>
              <w:szCs w:val="28"/>
            </w:rPr>
            <w:instrText xml:space="preserve"> PAGEREF _Toc16260 \h </w:instrText>
          </w:r>
          <w:r>
            <w:rPr>
              <w:sz w:val="28"/>
              <w:szCs w:val="28"/>
            </w:rPr>
            <w:fldChar w:fldCharType="separate"/>
          </w:r>
          <w:r>
            <w:rPr>
              <w:sz w:val="28"/>
              <w:szCs w:val="28"/>
            </w:rPr>
            <w:t>1</w:t>
          </w:r>
          <w:r>
            <w:rPr>
              <w:sz w:val="28"/>
              <w:szCs w:val="28"/>
            </w:rPr>
            <w:fldChar w:fldCharType="end"/>
          </w:r>
          <w:r>
            <w:rPr>
              <w:sz w:val="28"/>
              <w:szCs w:val="28"/>
            </w:rPr>
            <w:fldChar w:fldCharType="end"/>
          </w:r>
        </w:p>
        <w:p>
          <w:pPr>
            <w:pStyle w:val="7"/>
            <w:tabs>
              <w:tab w:val="right" w:leader="dot" w:pos="8788"/>
            </w:tabs>
            <w:rPr>
              <w:sz w:val="28"/>
              <w:szCs w:val="28"/>
            </w:rPr>
          </w:pPr>
          <w:r>
            <w:fldChar w:fldCharType="begin"/>
          </w:r>
          <w:r>
            <w:instrText xml:space="preserve"> HYPERLINK \l "_Toc15925" </w:instrText>
          </w:r>
          <w:r>
            <w:fldChar w:fldCharType="separate"/>
          </w:r>
          <w:r>
            <w:rPr>
              <w:rFonts w:ascii="Times New Roman" w:hAnsi="Times New Roman" w:eastAsia="仿宋" w:cs="Times New Roman"/>
              <w:bCs/>
              <w:sz w:val="28"/>
              <w:szCs w:val="28"/>
            </w:rPr>
            <w:t>三、自然保护地撤销转换情况</w:t>
          </w:r>
          <w:r>
            <w:rPr>
              <w:sz w:val="28"/>
              <w:szCs w:val="28"/>
            </w:rPr>
            <w:tab/>
          </w:r>
          <w:r>
            <w:rPr>
              <w:sz w:val="28"/>
              <w:szCs w:val="28"/>
            </w:rPr>
            <w:fldChar w:fldCharType="begin"/>
          </w:r>
          <w:r>
            <w:rPr>
              <w:sz w:val="28"/>
              <w:szCs w:val="28"/>
            </w:rPr>
            <w:instrText xml:space="preserve"> PAGEREF _Toc15925 \h </w:instrText>
          </w:r>
          <w:r>
            <w:rPr>
              <w:sz w:val="28"/>
              <w:szCs w:val="28"/>
            </w:rPr>
            <w:fldChar w:fldCharType="separate"/>
          </w:r>
          <w:r>
            <w:rPr>
              <w:sz w:val="28"/>
              <w:szCs w:val="28"/>
            </w:rPr>
            <w:t>2</w:t>
          </w:r>
          <w:r>
            <w:rPr>
              <w:sz w:val="28"/>
              <w:szCs w:val="28"/>
            </w:rPr>
            <w:fldChar w:fldCharType="end"/>
          </w:r>
          <w:r>
            <w:rPr>
              <w:sz w:val="28"/>
              <w:szCs w:val="28"/>
            </w:rPr>
            <w:fldChar w:fldCharType="end"/>
          </w:r>
        </w:p>
        <w:p>
          <w:pPr>
            <w:pStyle w:val="7"/>
            <w:tabs>
              <w:tab w:val="right" w:leader="dot" w:pos="8788"/>
            </w:tabs>
            <w:rPr>
              <w:sz w:val="28"/>
              <w:szCs w:val="28"/>
            </w:rPr>
          </w:pPr>
          <w:r>
            <w:fldChar w:fldCharType="begin"/>
          </w:r>
          <w:r>
            <w:instrText xml:space="preserve"> HYPERLINK \l "_Toc26947" </w:instrText>
          </w:r>
          <w:r>
            <w:fldChar w:fldCharType="separate"/>
          </w:r>
          <w:r>
            <w:rPr>
              <w:rFonts w:ascii="Times New Roman" w:hAnsi="Times New Roman" w:eastAsia="仿宋" w:cs="Times New Roman"/>
              <w:bCs/>
              <w:sz w:val="28"/>
              <w:szCs w:val="28"/>
            </w:rPr>
            <w:t>四、自然保护地归并情况</w:t>
          </w:r>
          <w:r>
            <w:rPr>
              <w:sz w:val="28"/>
              <w:szCs w:val="28"/>
            </w:rPr>
            <w:tab/>
          </w:r>
          <w:r>
            <w:rPr>
              <w:sz w:val="28"/>
              <w:szCs w:val="28"/>
            </w:rPr>
            <w:fldChar w:fldCharType="begin"/>
          </w:r>
          <w:r>
            <w:rPr>
              <w:sz w:val="28"/>
              <w:szCs w:val="28"/>
            </w:rPr>
            <w:instrText xml:space="preserve"> PAGEREF _Toc26947 \h </w:instrText>
          </w:r>
          <w:r>
            <w:rPr>
              <w:sz w:val="28"/>
              <w:szCs w:val="28"/>
            </w:rPr>
            <w:fldChar w:fldCharType="separate"/>
          </w:r>
          <w:r>
            <w:rPr>
              <w:sz w:val="28"/>
              <w:szCs w:val="28"/>
            </w:rPr>
            <w:t>3</w:t>
          </w:r>
          <w:r>
            <w:rPr>
              <w:sz w:val="28"/>
              <w:szCs w:val="28"/>
            </w:rPr>
            <w:fldChar w:fldCharType="end"/>
          </w:r>
          <w:r>
            <w:rPr>
              <w:sz w:val="28"/>
              <w:szCs w:val="28"/>
            </w:rPr>
            <w:fldChar w:fldCharType="end"/>
          </w:r>
        </w:p>
        <w:p>
          <w:pPr>
            <w:pStyle w:val="7"/>
            <w:tabs>
              <w:tab w:val="right" w:leader="dot" w:pos="8788"/>
            </w:tabs>
            <w:rPr>
              <w:sz w:val="28"/>
              <w:szCs w:val="28"/>
            </w:rPr>
          </w:pPr>
          <w:r>
            <w:fldChar w:fldCharType="begin"/>
          </w:r>
          <w:r>
            <w:instrText xml:space="preserve"> HYPERLINK \l "_Toc32581" </w:instrText>
          </w:r>
          <w:r>
            <w:fldChar w:fldCharType="separate"/>
          </w:r>
          <w:r>
            <w:rPr>
              <w:rFonts w:ascii="Times New Roman" w:hAnsi="Times New Roman" w:eastAsia="仿宋" w:cs="Times New Roman"/>
              <w:bCs/>
              <w:sz w:val="28"/>
              <w:szCs w:val="28"/>
            </w:rPr>
            <w:t>五、自然保护地保留情况</w:t>
          </w:r>
          <w:r>
            <w:rPr>
              <w:sz w:val="28"/>
              <w:szCs w:val="28"/>
            </w:rPr>
            <w:tab/>
          </w:r>
          <w:r>
            <w:rPr>
              <w:sz w:val="28"/>
              <w:szCs w:val="28"/>
            </w:rPr>
            <w:fldChar w:fldCharType="begin"/>
          </w:r>
          <w:r>
            <w:rPr>
              <w:sz w:val="28"/>
              <w:szCs w:val="28"/>
            </w:rPr>
            <w:instrText xml:space="preserve"> PAGEREF _Toc32581 \h </w:instrText>
          </w:r>
          <w:r>
            <w:rPr>
              <w:sz w:val="28"/>
              <w:szCs w:val="28"/>
            </w:rPr>
            <w:fldChar w:fldCharType="separate"/>
          </w:r>
          <w:r>
            <w:rPr>
              <w:sz w:val="28"/>
              <w:szCs w:val="28"/>
            </w:rPr>
            <w:t>3</w:t>
          </w:r>
          <w:r>
            <w:rPr>
              <w:sz w:val="28"/>
              <w:szCs w:val="28"/>
            </w:rPr>
            <w:fldChar w:fldCharType="end"/>
          </w:r>
          <w:r>
            <w:rPr>
              <w:sz w:val="28"/>
              <w:szCs w:val="28"/>
            </w:rPr>
            <w:fldChar w:fldCharType="end"/>
          </w:r>
        </w:p>
        <w:p>
          <w:pPr>
            <w:pStyle w:val="7"/>
            <w:tabs>
              <w:tab w:val="right" w:leader="dot" w:pos="8788"/>
            </w:tabs>
            <w:rPr>
              <w:sz w:val="28"/>
              <w:szCs w:val="28"/>
            </w:rPr>
          </w:pPr>
          <w:r>
            <w:fldChar w:fldCharType="begin"/>
          </w:r>
          <w:r>
            <w:instrText xml:space="preserve"> HYPERLINK \l "_Toc812" </w:instrText>
          </w:r>
          <w:r>
            <w:fldChar w:fldCharType="separate"/>
          </w:r>
          <w:r>
            <w:rPr>
              <w:rFonts w:ascii="Times New Roman" w:hAnsi="Times New Roman" w:eastAsia="仿宋" w:cs="Times New Roman"/>
              <w:bCs/>
              <w:sz w:val="28"/>
              <w:szCs w:val="28"/>
            </w:rPr>
            <w:t>六、附件</w:t>
          </w:r>
          <w:r>
            <w:rPr>
              <w:sz w:val="28"/>
              <w:szCs w:val="28"/>
            </w:rPr>
            <w:tab/>
          </w:r>
          <w:r>
            <w:rPr>
              <w:sz w:val="28"/>
              <w:szCs w:val="28"/>
            </w:rPr>
            <w:fldChar w:fldCharType="begin"/>
          </w:r>
          <w:r>
            <w:rPr>
              <w:sz w:val="28"/>
              <w:szCs w:val="28"/>
            </w:rPr>
            <w:instrText xml:space="preserve"> PAGEREF _Toc812 \h </w:instrText>
          </w:r>
          <w:r>
            <w:rPr>
              <w:sz w:val="28"/>
              <w:szCs w:val="28"/>
            </w:rPr>
            <w:fldChar w:fldCharType="separate"/>
          </w:r>
          <w:r>
            <w:rPr>
              <w:sz w:val="28"/>
              <w:szCs w:val="28"/>
            </w:rPr>
            <w:t>4</w:t>
          </w:r>
          <w:r>
            <w:rPr>
              <w:sz w:val="28"/>
              <w:szCs w:val="28"/>
            </w:rPr>
            <w:fldChar w:fldCharType="end"/>
          </w:r>
          <w:r>
            <w:rPr>
              <w:sz w:val="28"/>
              <w:szCs w:val="28"/>
            </w:rPr>
            <w:fldChar w:fldCharType="end"/>
          </w:r>
        </w:p>
        <w:p>
          <w:pPr>
            <w:rPr>
              <w:rFonts w:ascii="Times New Roman" w:hAnsi="Times New Roman" w:eastAsia="仿宋" w:cs="Times New Roman"/>
            </w:rPr>
          </w:pPr>
          <w:r>
            <w:rPr>
              <w:rFonts w:ascii="Times New Roman" w:hAnsi="Times New Roman" w:eastAsia="仿宋" w:cs="Times New Roman"/>
              <w:sz w:val="28"/>
              <w:szCs w:val="28"/>
            </w:rPr>
            <w:fldChar w:fldCharType="end"/>
          </w:r>
        </w:p>
      </w:sdtContent>
    </w:sdt>
    <w:p>
      <w:pPr>
        <w:rPr>
          <w:rFonts w:ascii="Times New Roman" w:hAnsi="Times New Roman" w:eastAsia="仿宋" w:cs="Times New Roman"/>
        </w:rPr>
      </w:pPr>
    </w:p>
    <w:p>
      <w:pPr>
        <w:rPr>
          <w:rFonts w:ascii="Times New Roman" w:hAnsi="Times New Roman" w:eastAsia="仿宋" w:cs="Times New Roman"/>
          <w:sz w:val="32"/>
          <w:szCs w:val="40"/>
        </w:rPr>
      </w:pPr>
      <w:r>
        <w:rPr>
          <w:rFonts w:ascii="Times New Roman" w:hAnsi="Times New Roman" w:eastAsia="仿宋" w:cs="Times New Roman"/>
          <w:sz w:val="32"/>
          <w:szCs w:val="40"/>
        </w:rPr>
        <w:br w:type="page"/>
      </w:r>
    </w:p>
    <w:p>
      <w:pPr>
        <w:pStyle w:val="2"/>
        <w:spacing w:line="360" w:lineRule="auto"/>
        <w:ind w:firstLine="640"/>
        <w:rPr>
          <w:rFonts w:ascii="Times New Roman" w:hAnsi="Times New Roman" w:eastAsia="仿宋" w:cs="Times New Roman"/>
          <w:sz w:val="32"/>
          <w:szCs w:val="40"/>
        </w:rPr>
        <w:sectPr>
          <w:footerReference r:id="rId3" w:type="default"/>
          <w:pgSz w:w="11906" w:h="16838"/>
          <w:pgMar w:top="1701" w:right="1417" w:bottom="1417" w:left="1701" w:header="851" w:footer="992" w:gutter="0"/>
          <w:cols w:space="425" w:num="1"/>
          <w:docGrid w:type="lines" w:linePitch="312" w:charSpace="0"/>
        </w:sectPr>
      </w:pPr>
    </w:p>
    <w:p>
      <w:pPr>
        <w:pStyle w:val="2"/>
        <w:spacing w:line="360" w:lineRule="auto"/>
        <w:ind w:firstLine="560"/>
        <w:rPr>
          <w:rFonts w:ascii="Times New Roman" w:hAnsi="Times New Roman" w:eastAsia="仿宋" w:cs="Times New Roman"/>
          <w:sz w:val="28"/>
          <w:szCs w:val="28"/>
        </w:rPr>
      </w:pPr>
      <w:r>
        <w:rPr>
          <w:rFonts w:ascii="Times New Roman" w:hAnsi="Times New Roman" w:eastAsia="仿宋" w:cs="Times New Roman"/>
          <w:sz w:val="28"/>
          <w:szCs w:val="28"/>
        </w:rPr>
        <w:t>以习近平新时代中国特色社会主义思想为指导，坚持生态优先、绿色发展、依法依规、科学规范，坚持目标导向、问题导向，以现有成果为基础进一步整合优化自然保护地，保留一批符合设立标准的，归并一批功能相近、地域相连、管理可行的，撤销一批达不到标准、空间破碎、保护价值不高的，逐步建立起空间布局合理、边界范围清晰、管理有效的新型自然保护地体系。</w:t>
      </w:r>
    </w:p>
    <w:p>
      <w:pPr>
        <w:pStyle w:val="2"/>
        <w:spacing w:line="360" w:lineRule="auto"/>
        <w:ind w:firstLine="643"/>
        <w:outlineLvl w:val="0"/>
        <w:rPr>
          <w:rFonts w:ascii="Times New Roman" w:hAnsi="Times New Roman" w:eastAsia="仿宋" w:cs="Times New Roman"/>
          <w:b/>
          <w:bCs/>
          <w:sz w:val="32"/>
          <w:szCs w:val="40"/>
        </w:rPr>
      </w:pPr>
      <w:bookmarkStart w:id="0" w:name="_Toc614"/>
      <w:r>
        <w:rPr>
          <w:rFonts w:ascii="Times New Roman" w:hAnsi="Times New Roman" w:eastAsia="仿宋" w:cs="Times New Roman"/>
          <w:b/>
          <w:bCs/>
          <w:sz w:val="32"/>
          <w:szCs w:val="40"/>
        </w:rPr>
        <w:t>一、2024年联审后自然保护地整合优化方案结果</w:t>
      </w:r>
      <w:bookmarkEnd w:id="0"/>
    </w:p>
    <w:p>
      <w:pPr>
        <w:pStyle w:val="2"/>
        <w:spacing w:line="360" w:lineRule="auto"/>
        <w:ind w:firstLine="560"/>
        <w:rPr>
          <w:rFonts w:ascii="Times New Roman" w:hAnsi="Times New Roman" w:eastAsia="仿宋" w:cs="Times New Roman"/>
          <w:sz w:val="28"/>
          <w:szCs w:val="28"/>
        </w:rPr>
      </w:pPr>
      <w:r>
        <w:rPr>
          <w:rFonts w:ascii="Times New Roman" w:hAnsi="Times New Roman" w:eastAsia="仿宋" w:cs="Times New Roman"/>
          <w:sz w:val="28"/>
          <w:szCs w:val="28"/>
        </w:rPr>
        <w:t>根据2024年联审后整合优化成果，</w:t>
      </w:r>
      <w:bookmarkStart w:id="1" w:name="OLE_LINK1"/>
      <w:r>
        <w:rPr>
          <w:rFonts w:ascii="Times New Roman" w:hAnsi="Times New Roman" w:eastAsia="仿宋" w:cs="Times New Roman"/>
          <w:sz w:val="28"/>
          <w:szCs w:val="28"/>
        </w:rPr>
        <w:t>云城区有自然保护地9处，总面积约8391.68公顷，包括自然保护区2处、风景名胜区1处、森林公园4处、湿地公园2处；其中，省级2处、市、县有自然保护地7处。</w:t>
      </w:r>
    </w:p>
    <w:p>
      <w:pPr>
        <w:pStyle w:val="2"/>
        <w:spacing w:line="360" w:lineRule="auto"/>
        <w:ind w:firstLine="560"/>
        <w:rPr>
          <w:rFonts w:ascii="Times New Roman" w:hAnsi="Times New Roman" w:eastAsia="仿宋" w:cs="Times New Roman"/>
          <w:sz w:val="28"/>
          <w:szCs w:val="28"/>
        </w:rPr>
      </w:pPr>
      <w:r>
        <w:rPr>
          <w:rFonts w:ascii="Times New Roman" w:hAnsi="Times New Roman" w:eastAsia="仿宋" w:cs="Times New Roman"/>
          <w:sz w:val="28"/>
          <w:szCs w:val="28"/>
        </w:rPr>
        <w:t>2处市级自然保护区总面积约3777.39公顷，其中核心保护区1035.97公顷、一般控制区2741.42公顷。</w:t>
      </w:r>
    </w:p>
    <w:p>
      <w:pPr>
        <w:jc w:val="center"/>
        <w:rPr>
          <w:rFonts w:ascii="Times New Roman" w:hAnsi="Times New Roman" w:eastAsia="仿宋" w:cs="Times New Roman"/>
          <w:b/>
          <w:bCs/>
          <w:sz w:val="24"/>
        </w:rPr>
      </w:pPr>
      <w:r>
        <w:rPr>
          <w:rFonts w:ascii="Times New Roman" w:hAnsi="Times New Roman" w:eastAsia="仿宋" w:cs="Times New Roman"/>
          <w:b/>
          <w:bCs/>
          <w:sz w:val="24"/>
        </w:rPr>
        <w:t xml:space="preserve">  2024年联审后自然保护地整合优化方案结果情况表</w:t>
      </w:r>
      <w:bookmarkEnd w:id="1"/>
      <w:r>
        <w:rPr>
          <w:rFonts w:ascii="Times New Roman" w:hAnsi="Times New Roman" w:eastAsia="仿宋" w:cs="Times New Roman"/>
          <w:b/>
          <w:bCs/>
          <w:sz w:val="24"/>
        </w:rPr>
        <w:t>（单位：公顷）</w:t>
      </w:r>
    </w:p>
    <w:tbl>
      <w:tblPr>
        <w:tblStyle w:val="1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3"/>
        <w:gridCol w:w="2015"/>
        <w:gridCol w:w="1482"/>
        <w:gridCol w:w="1482"/>
        <w:gridCol w:w="1484"/>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2023" w:type="pct"/>
            <w:gridSpan w:val="2"/>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类型</w:t>
            </w:r>
          </w:p>
        </w:tc>
        <w:tc>
          <w:tcPr>
            <w:tcW w:w="744"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省级</w:t>
            </w:r>
          </w:p>
        </w:tc>
        <w:tc>
          <w:tcPr>
            <w:tcW w:w="744"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市级</w:t>
            </w:r>
          </w:p>
        </w:tc>
        <w:tc>
          <w:tcPr>
            <w:tcW w:w="744"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县级</w:t>
            </w:r>
          </w:p>
        </w:tc>
        <w:tc>
          <w:tcPr>
            <w:tcW w:w="744"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011" w:type="pct"/>
            <w:vMerge w:val="restar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自然公园</w:t>
            </w:r>
          </w:p>
        </w:tc>
        <w:tc>
          <w:tcPr>
            <w:tcW w:w="1012"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风景名胜区</w:t>
            </w:r>
          </w:p>
        </w:tc>
        <w:tc>
          <w:tcPr>
            <w:tcW w:w="1482"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1031.29</w:t>
            </w:r>
          </w:p>
        </w:tc>
        <w:tc>
          <w:tcPr>
            <w:tcW w:w="1482" w:type="dxa"/>
            <w:shd w:val="clear" w:color="auto" w:fill="auto"/>
            <w:noWrap/>
            <w:vAlign w:val="center"/>
          </w:tcPr>
          <w:p>
            <w:pPr>
              <w:jc w:val="center"/>
              <w:rPr>
                <w:rFonts w:ascii="Times New Roman" w:hAnsi="Times New Roman" w:eastAsia="仿宋" w:cs="Times New Roman"/>
                <w:color w:val="000000"/>
                <w:sz w:val="24"/>
              </w:rPr>
            </w:pPr>
          </w:p>
        </w:tc>
        <w:tc>
          <w:tcPr>
            <w:tcW w:w="1483" w:type="dxa"/>
            <w:shd w:val="clear" w:color="auto" w:fill="auto"/>
            <w:noWrap/>
            <w:vAlign w:val="center"/>
          </w:tcPr>
          <w:p>
            <w:pPr>
              <w:jc w:val="center"/>
              <w:rPr>
                <w:rFonts w:ascii="Times New Roman" w:hAnsi="Times New Roman" w:eastAsia="仿宋" w:cs="Times New Roman"/>
                <w:color w:val="000000"/>
                <w:sz w:val="24"/>
              </w:rPr>
            </w:pPr>
          </w:p>
        </w:tc>
        <w:tc>
          <w:tcPr>
            <w:tcW w:w="1483"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1031.29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011" w:type="pct"/>
            <w:vMerge w:val="continue"/>
            <w:shd w:val="clear" w:color="auto" w:fill="auto"/>
            <w:noWrap/>
            <w:vAlign w:val="center"/>
          </w:tcPr>
          <w:p>
            <w:pPr>
              <w:widowControl/>
              <w:jc w:val="center"/>
              <w:textAlignment w:val="center"/>
              <w:rPr>
                <w:rFonts w:ascii="Times New Roman" w:hAnsi="Times New Roman" w:eastAsia="仿宋" w:cs="Times New Roman"/>
                <w:color w:val="000000"/>
                <w:kern w:val="0"/>
                <w:sz w:val="24"/>
              </w:rPr>
            </w:pPr>
          </w:p>
        </w:tc>
        <w:tc>
          <w:tcPr>
            <w:tcW w:w="1012"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森林公园</w:t>
            </w:r>
          </w:p>
        </w:tc>
        <w:tc>
          <w:tcPr>
            <w:tcW w:w="1482"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2109.73</w:t>
            </w:r>
          </w:p>
        </w:tc>
        <w:tc>
          <w:tcPr>
            <w:tcW w:w="1482"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315.99</w:t>
            </w:r>
          </w:p>
        </w:tc>
        <w:tc>
          <w:tcPr>
            <w:tcW w:w="1483"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993.12</w:t>
            </w:r>
          </w:p>
        </w:tc>
        <w:tc>
          <w:tcPr>
            <w:tcW w:w="1483"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3418.84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011" w:type="pct"/>
            <w:vMerge w:val="continue"/>
            <w:shd w:val="clear" w:color="auto" w:fill="auto"/>
            <w:noWrap/>
            <w:vAlign w:val="center"/>
          </w:tcPr>
          <w:p>
            <w:pPr>
              <w:widowControl/>
              <w:jc w:val="center"/>
              <w:textAlignment w:val="center"/>
              <w:rPr>
                <w:rFonts w:ascii="Times New Roman" w:hAnsi="Times New Roman" w:eastAsia="仿宋" w:cs="Times New Roman"/>
                <w:color w:val="000000"/>
                <w:kern w:val="0"/>
                <w:sz w:val="24"/>
              </w:rPr>
            </w:pPr>
          </w:p>
        </w:tc>
        <w:tc>
          <w:tcPr>
            <w:tcW w:w="1012"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湿地公园</w:t>
            </w:r>
          </w:p>
        </w:tc>
        <w:tc>
          <w:tcPr>
            <w:tcW w:w="1482" w:type="dxa"/>
            <w:shd w:val="clear" w:color="auto" w:fill="auto"/>
            <w:noWrap/>
            <w:vAlign w:val="center"/>
          </w:tcPr>
          <w:p>
            <w:pPr>
              <w:jc w:val="center"/>
              <w:rPr>
                <w:rFonts w:ascii="Times New Roman" w:hAnsi="Times New Roman" w:eastAsia="仿宋" w:cs="Times New Roman"/>
                <w:color w:val="000000"/>
                <w:sz w:val="24"/>
              </w:rPr>
            </w:pPr>
          </w:p>
        </w:tc>
        <w:tc>
          <w:tcPr>
            <w:tcW w:w="1482" w:type="dxa"/>
            <w:shd w:val="clear" w:color="auto" w:fill="auto"/>
            <w:noWrap/>
            <w:vAlign w:val="center"/>
          </w:tcPr>
          <w:p>
            <w:pPr>
              <w:jc w:val="center"/>
              <w:rPr>
                <w:rFonts w:ascii="Times New Roman" w:hAnsi="Times New Roman" w:eastAsia="仿宋" w:cs="Times New Roman"/>
                <w:color w:val="000000"/>
                <w:sz w:val="24"/>
              </w:rPr>
            </w:pPr>
          </w:p>
        </w:tc>
        <w:tc>
          <w:tcPr>
            <w:tcW w:w="1483"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164.16</w:t>
            </w:r>
          </w:p>
        </w:tc>
        <w:tc>
          <w:tcPr>
            <w:tcW w:w="1483"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164.16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011"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自然保护区</w:t>
            </w:r>
          </w:p>
        </w:tc>
        <w:tc>
          <w:tcPr>
            <w:tcW w:w="1012"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自然保护区</w:t>
            </w:r>
          </w:p>
        </w:tc>
        <w:tc>
          <w:tcPr>
            <w:tcW w:w="1482" w:type="dxa"/>
            <w:shd w:val="clear" w:color="auto" w:fill="auto"/>
            <w:noWrap/>
            <w:vAlign w:val="center"/>
          </w:tcPr>
          <w:p>
            <w:pPr>
              <w:jc w:val="center"/>
              <w:rPr>
                <w:rFonts w:ascii="Times New Roman" w:hAnsi="Times New Roman" w:eastAsia="仿宋" w:cs="Times New Roman"/>
                <w:color w:val="000000"/>
                <w:sz w:val="24"/>
              </w:rPr>
            </w:pPr>
          </w:p>
        </w:tc>
        <w:tc>
          <w:tcPr>
            <w:tcW w:w="1482"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3777.39</w:t>
            </w:r>
          </w:p>
        </w:tc>
        <w:tc>
          <w:tcPr>
            <w:tcW w:w="1483" w:type="dxa"/>
            <w:shd w:val="clear" w:color="auto" w:fill="auto"/>
            <w:noWrap/>
            <w:vAlign w:val="center"/>
          </w:tcPr>
          <w:p>
            <w:pPr>
              <w:jc w:val="center"/>
              <w:rPr>
                <w:rFonts w:ascii="Times New Roman" w:hAnsi="Times New Roman" w:eastAsia="仿宋" w:cs="Times New Roman"/>
                <w:color w:val="000000"/>
                <w:sz w:val="24"/>
              </w:rPr>
            </w:pPr>
          </w:p>
        </w:tc>
        <w:tc>
          <w:tcPr>
            <w:tcW w:w="1483"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3777.39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023" w:type="pct"/>
            <w:gridSpan w:val="2"/>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合计</w:t>
            </w:r>
          </w:p>
        </w:tc>
        <w:tc>
          <w:tcPr>
            <w:tcW w:w="1482"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3141.02</w:t>
            </w:r>
          </w:p>
        </w:tc>
        <w:tc>
          <w:tcPr>
            <w:tcW w:w="1482"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4093.38</w:t>
            </w:r>
          </w:p>
        </w:tc>
        <w:tc>
          <w:tcPr>
            <w:tcW w:w="1483"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1157.28</w:t>
            </w:r>
          </w:p>
        </w:tc>
        <w:tc>
          <w:tcPr>
            <w:tcW w:w="1483"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8391.68</w:t>
            </w:r>
          </w:p>
        </w:tc>
      </w:tr>
    </w:tbl>
    <w:p>
      <w:pPr>
        <w:pStyle w:val="2"/>
      </w:pPr>
    </w:p>
    <w:p>
      <w:pPr>
        <w:pStyle w:val="2"/>
        <w:spacing w:line="360" w:lineRule="auto"/>
        <w:ind w:firstLine="643"/>
        <w:outlineLvl w:val="0"/>
        <w:rPr>
          <w:rFonts w:ascii="Times New Roman" w:hAnsi="Times New Roman" w:eastAsia="仿宋" w:cs="Times New Roman"/>
          <w:b/>
          <w:bCs/>
          <w:sz w:val="32"/>
          <w:szCs w:val="40"/>
        </w:rPr>
      </w:pPr>
      <w:bookmarkStart w:id="2" w:name="_Toc16260"/>
      <w:r>
        <w:rPr>
          <w:rFonts w:ascii="Times New Roman" w:hAnsi="Times New Roman" w:eastAsia="仿宋" w:cs="Times New Roman"/>
          <w:b/>
          <w:bCs/>
          <w:sz w:val="32"/>
          <w:szCs w:val="40"/>
        </w:rPr>
        <w:t>二、进一步整合优化后自然保护地结果</w:t>
      </w:r>
      <w:bookmarkEnd w:id="2"/>
    </w:p>
    <w:p>
      <w:pPr>
        <w:pStyle w:val="2"/>
        <w:ind w:firstLine="562"/>
        <w:outlineLvl w:val="1"/>
        <w:rPr>
          <w:rFonts w:ascii="Times New Roman" w:hAnsi="Times New Roman" w:eastAsia="仿宋" w:cs="Times New Roman"/>
          <w:b/>
          <w:bCs/>
          <w:sz w:val="28"/>
          <w:szCs w:val="36"/>
        </w:rPr>
      </w:pPr>
      <w:bookmarkStart w:id="3" w:name="_Toc15560"/>
      <w:bookmarkStart w:id="4" w:name="_Toc21951"/>
      <w:bookmarkStart w:id="5" w:name="_Toc24454"/>
      <w:bookmarkStart w:id="6" w:name="OLE_LINK19"/>
      <w:bookmarkStart w:id="7" w:name="OLE_LINK18"/>
      <w:r>
        <w:rPr>
          <w:rFonts w:ascii="Times New Roman" w:hAnsi="Times New Roman" w:eastAsia="仿宋" w:cs="Times New Roman"/>
          <w:b/>
          <w:bCs/>
          <w:sz w:val="28"/>
          <w:szCs w:val="36"/>
        </w:rPr>
        <w:t>（一）自然保护地总体情况</w:t>
      </w:r>
      <w:bookmarkEnd w:id="3"/>
      <w:bookmarkEnd w:id="4"/>
      <w:bookmarkEnd w:id="5"/>
    </w:p>
    <w:bookmarkEnd w:id="6"/>
    <w:bookmarkEnd w:id="7"/>
    <w:p>
      <w:pPr>
        <w:pStyle w:val="2"/>
        <w:spacing w:line="360" w:lineRule="auto"/>
        <w:ind w:firstLine="560"/>
        <w:rPr>
          <w:rFonts w:ascii="Times New Roman" w:hAnsi="Times New Roman" w:eastAsia="仿宋" w:cs="Times New Roman"/>
          <w:sz w:val="28"/>
          <w:szCs w:val="28"/>
        </w:rPr>
      </w:pPr>
      <w:r>
        <w:rPr>
          <w:rFonts w:ascii="Times New Roman" w:hAnsi="Times New Roman" w:eastAsia="仿宋" w:cs="Times New Roman"/>
          <w:sz w:val="28"/>
          <w:szCs w:val="28"/>
        </w:rPr>
        <w:t>云城区撤销转换自然保护地共5处，面积约1473.27公顷，进一步整合优化，将云浮大云雾山地方级自然保护区和云浮崖楼山地方级自然保护区归并为1处省级森林公园，暂定命名云浮大云雾山地方级森林公园，最终云城区自然保护地有3处，全为省级，总面积约6918.41公顷，包括风景名胜区1处、森林公园2处。</w:t>
      </w:r>
    </w:p>
    <w:p>
      <w:pPr>
        <w:jc w:val="center"/>
        <w:rPr>
          <w:rFonts w:ascii="Times New Roman" w:hAnsi="Times New Roman" w:eastAsia="仿宋" w:cs="Times New Roman"/>
          <w:b/>
          <w:bCs/>
          <w:sz w:val="24"/>
        </w:rPr>
      </w:pPr>
      <w:r>
        <w:rPr>
          <w:rFonts w:ascii="Times New Roman" w:hAnsi="Times New Roman" w:eastAsia="仿宋" w:cs="Times New Roman"/>
          <w:b/>
          <w:bCs/>
          <w:sz w:val="24"/>
        </w:rPr>
        <w:t>进一步整合优化后自然保护地情况表（单位：公顷）</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1813"/>
        <w:gridCol w:w="1550"/>
        <w:gridCol w:w="1550"/>
        <w:gridCol w:w="1713"/>
        <w:gridCol w:w="1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20" w:type="pct"/>
            <w:gridSpan w:val="2"/>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类型</w:t>
            </w:r>
          </w:p>
        </w:tc>
        <w:tc>
          <w:tcPr>
            <w:tcW w:w="778"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省级</w:t>
            </w:r>
          </w:p>
        </w:tc>
        <w:tc>
          <w:tcPr>
            <w:tcW w:w="778"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市级</w:t>
            </w:r>
          </w:p>
        </w:tc>
        <w:tc>
          <w:tcPr>
            <w:tcW w:w="860"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县级</w:t>
            </w:r>
          </w:p>
        </w:tc>
        <w:tc>
          <w:tcPr>
            <w:tcW w:w="763"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10" w:type="pct"/>
            <w:vMerge w:val="restar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自然公园</w:t>
            </w:r>
          </w:p>
        </w:tc>
        <w:tc>
          <w:tcPr>
            <w:tcW w:w="910"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风景名胜区</w:t>
            </w:r>
          </w:p>
        </w:tc>
        <w:tc>
          <w:tcPr>
            <w:tcW w:w="778" w:type="pct"/>
            <w:shd w:val="clear" w:color="auto" w:fill="auto"/>
            <w:noWrap/>
            <w:vAlign w:val="center"/>
          </w:tcPr>
          <w:p>
            <w:pPr>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1031.29</w:t>
            </w:r>
          </w:p>
        </w:tc>
        <w:tc>
          <w:tcPr>
            <w:tcW w:w="778"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p>
        </w:tc>
        <w:tc>
          <w:tcPr>
            <w:tcW w:w="860" w:type="pct"/>
            <w:shd w:val="clear" w:color="auto" w:fill="auto"/>
            <w:noWrap/>
            <w:vAlign w:val="center"/>
          </w:tcPr>
          <w:p>
            <w:pPr>
              <w:jc w:val="center"/>
              <w:rPr>
                <w:rFonts w:ascii="Times New Roman" w:hAnsi="Times New Roman" w:eastAsia="仿宋" w:cs="Times New Roman"/>
                <w:color w:val="000000"/>
                <w:kern w:val="0"/>
                <w:sz w:val="24"/>
              </w:rPr>
            </w:pPr>
          </w:p>
        </w:tc>
        <w:tc>
          <w:tcPr>
            <w:tcW w:w="763"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1031.29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10" w:type="pct"/>
            <w:vMerge w:val="continue"/>
            <w:shd w:val="clear" w:color="auto" w:fill="auto"/>
            <w:noWrap/>
            <w:vAlign w:val="center"/>
          </w:tcPr>
          <w:p>
            <w:pPr>
              <w:widowControl/>
              <w:jc w:val="center"/>
              <w:textAlignment w:val="center"/>
              <w:rPr>
                <w:rFonts w:ascii="Times New Roman" w:hAnsi="Times New Roman" w:eastAsia="仿宋" w:cs="Times New Roman"/>
                <w:color w:val="000000"/>
                <w:kern w:val="0"/>
                <w:sz w:val="24"/>
              </w:rPr>
            </w:pPr>
          </w:p>
        </w:tc>
        <w:tc>
          <w:tcPr>
            <w:tcW w:w="910"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森林公园</w:t>
            </w:r>
          </w:p>
        </w:tc>
        <w:tc>
          <w:tcPr>
            <w:tcW w:w="778"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5887.12</w:t>
            </w:r>
          </w:p>
        </w:tc>
        <w:tc>
          <w:tcPr>
            <w:tcW w:w="778"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p>
        </w:tc>
        <w:tc>
          <w:tcPr>
            <w:tcW w:w="860"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p>
        </w:tc>
        <w:tc>
          <w:tcPr>
            <w:tcW w:w="763"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5887.12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20" w:type="pct"/>
            <w:gridSpan w:val="2"/>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合计</w:t>
            </w:r>
          </w:p>
        </w:tc>
        <w:tc>
          <w:tcPr>
            <w:tcW w:w="778"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6918.41</w:t>
            </w:r>
          </w:p>
        </w:tc>
        <w:tc>
          <w:tcPr>
            <w:tcW w:w="778"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p>
        </w:tc>
        <w:tc>
          <w:tcPr>
            <w:tcW w:w="860"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p>
        </w:tc>
        <w:tc>
          <w:tcPr>
            <w:tcW w:w="763"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6918.41</w:t>
            </w:r>
          </w:p>
        </w:tc>
      </w:tr>
    </w:tbl>
    <w:p>
      <w:pPr>
        <w:jc w:val="center"/>
        <w:rPr>
          <w:rFonts w:ascii="Times New Roman" w:hAnsi="Times New Roman" w:eastAsia="仿宋" w:cs="Times New Roman"/>
          <w:b/>
          <w:bCs/>
          <w:sz w:val="24"/>
        </w:rPr>
      </w:pPr>
    </w:p>
    <w:p>
      <w:pPr>
        <w:jc w:val="center"/>
        <w:rPr>
          <w:rFonts w:ascii="Times New Roman" w:hAnsi="Times New Roman" w:eastAsia="仿宋" w:cs="Times New Roman"/>
          <w:b/>
          <w:bCs/>
          <w:sz w:val="24"/>
        </w:rPr>
      </w:pPr>
      <w:r>
        <w:rPr>
          <w:rFonts w:ascii="Times New Roman" w:hAnsi="Times New Roman" w:eastAsia="仿宋" w:cs="Times New Roman"/>
          <w:b/>
          <w:bCs/>
          <w:sz w:val="24"/>
        </w:rPr>
        <w:t>进一步整合优化后自然保护地名录（单位：公顷）</w:t>
      </w:r>
    </w:p>
    <w:tbl>
      <w:tblPr>
        <w:tblStyle w:val="1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465"/>
        <w:gridCol w:w="1514"/>
        <w:gridCol w:w="813"/>
        <w:gridCol w:w="1004"/>
        <w:gridCol w:w="2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61" w:type="pct"/>
            <w:shd w:val="clear" w:color="auto" w:fill="auto"/>
            <w:noWrap/>
            <w:vAlign w:val="center"/>
          </w:tcPr>
          <w:p>
            <w:pPr>
              <w:widowControl/>
              <w:jc w:val="left"/>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序号</w:t>
            </w:r>
          </w:p>
        </w:tc>
        <w:tc>
          <w:tcPr>
            <w:tcW w:w="1739"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自然保护地名称</w:t>
            </w:r>
          </w:p>
        </w:tc>
        <w:tc>
          <w:tcPr>
            <w:tcW w:w="760"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类型</w:t>
            </w:r>
          </w:p>
        </w:tc>
        <w:tc>
          <w:tcPr>
            <w:tcW w:w="406"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级别</w:t>
            </w:r>
          </w:p>
        </w:tc>
        <w:tc>
          <w:tcPr>
            <w:tcW w:w="504"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面积</w:t>
            </w:r>
          </w:p>
        </w:tc>
        <w:tc>
          <w:tcPr>
            <w:tcW w:w="1227"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6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w:t>
            </w:r>
          </w:p>
        </w:tc>
        <w:tc>
          <w:tcPr>
            <w:tcW w:w="173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云浮蟠龙洞地方级风景名胜区</w:t>
            </w:r>
          </w:p>
        </w:tc>
        <w:tc>
          <w:tcPr>
            <w:tcW w:w="760"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风景名胜区</w:t>
            </w:r>
          </w:p>
        </w:tc>
        <w:tc>
          <w:tcPr>
            <w:tcW w:w="40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省级</w:t>
            </w:r>
          </w:p>
        </w:tc>
        <w:tc>
          <w:tcPr>
            <w:tcW w:w="504"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1031.29</w:t>
            </w:r>
          </w:p>
        </w:tc>
        <w:tc>
          <w:tcPr>
            <w:tcW w:w="1227"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跨区分布（云安区-云城区），总面积1237.84公顷。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6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2</w:t>
            </w:r>
          </w:p>
        </w:tc>
        <w:tc>
          <w:tcPr>
            <w:tcW w:w="173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云浮大金山地方级森林公园</w:t>
            </w:r>
          </w:p>
        </w:tc>
        <w:tc>
          <w:tcPr>
            <w:tcW w:w="760"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森林公园</w:t>
            </w:r>
          </w:p>
        </w:tc>
        <w:tc>
          <w:tcPr>
            <w:tcW w:w="40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省级</w:t>
            </w:r>
          </w:p>
        </w:tc>
        <w:tc>
          <w:tcPr>
            <w:tcW w:w="504"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2109.73</w:t>
            </w:r>
          </w:p>
        </w:tc>
        <w:tc>
          <w:tcPr>
            <w:tcW w:w="1227"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跨区分布（云安区-云城区），总面积3762.14公顷。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6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4</w:t>
            </w:r>
          </w:p>
        </w:tc>
        <w:tc>
          <w:tcPr>
            <w:tcW w:w="173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云浮大云雾山地方级森林公园</w:t>
            </w:r>
          </w:p>
        </w:tc>
        <w:tc>
          <w:tcPr>
            <w:tcW w:w="760"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森林公园</w:t>
            </w:r>
          </w:p>
        </w:tc>
        <w:tc>
          <w:tcPr>
            <w:tcW w:w="40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省级</w:t>
            </w:r>
          </w:p>
        </w:tc>
        <w:tc>
          <w:tcPr>
            <w:tcW w:w="504" w:type="pct"/>
            <w:shd w:val="clear" w:color="auto" w:fill="auto"/>
            <w:noWrap/>
            <w:vAlign w:val="center"/>
          </w:tcPr>
          <w:p>
            <w:pPr>
              <w:widowControl/>
              <w:jc w:val="center"/>
              <w:textAlignment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3777.39</w:t>
            </w:r>
          </w:p>
        </w:tc>
        <w:tc>
          <w:tcPr>
            <w:tcW w:w="1227"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跨区分布（云安区-云城区-新兴县），7712.87公顷。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268" w:type="pct"/>
            <w:gridSpan w:val="4"/>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合计</w:t>
            </w:r>
          </w:p>
        </w:tc>
        <w:tc>
          <w:tcPr>
            <w:tcW w:w="504"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6918.41</w:t>
            </w:r>
          </w:p>
        </w:tc>
        <w:tc>
          <w:tcPr>
            <w:tcW w:w="1227"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p>
        </w:tc>
      </w:tr>
    </w:tbl>
    <w:p>
      <w:pPr>
        <w:pStyle w:val="2"/>
      </w:pPr>
      <w:bookmarkStart w:id="8" w:name="_Toc3983"/>
      <w:bookmarkStart w:id="9" w:name="_Toc20719"/>
    </w:p>
    <w:p>
      <w:pPr>
        <w:pStyle w:val="2"/>
        <w:spacing w:line="360" w:lineRule="auto"/>
        <w:ind w:firstLine="562"/>
        <w:outlineLvl w:val="1"/>
        <w:rPr>
          <w:rFonts w:ascii="Times New Roman" w:hAnsi="Times New Roman" w:eastAsia="仿宋" w:cs="Times New Roman"/>
          <w:b/>
          <w:bCs/>
          <w:sz w:val="28"/>
          <w:szCs w:val="28"/>
        </w:rPr>
      </w:pPr>
      <w:r>
        <w:rPr>
          <w:rFonts w:ascii="Times New Roman" w:hAnsi="Times New Roman" w:eastAsia="仿宋" w:cs="Times New Roman"/>
          <w:b/>
          <w:bCs/>
          <w:sz w:val="28"/>
          <w:szCs w:val="28"/>
        </w:rPr>
        <w:t>（二）</w:t>
      </w:r>
      <w:bookmarkStart w:id="10" w:name="OLE_LINK28"/>
      <w:bookmarkStart w:id="11" w:name="OLE_LINK29"/>
      <w:r>
        <w:rPr>
          <w:rFonts w:ascii="Times New Roman" w:hAnsi="Times New Roman" w:eastAsia="仿宋" w:cs="Times New Roman"/>
          <w:b/>
          <w:bCs/>
          <w:sz w:val="28"/>
          <w:szCs w:val="28"/>
        </w:rPr>
        <w:t>自然</w:t>
      </w:r>
      <w:bookmarkEnd w:id="10"/>
      <w:bookmarkEnd w:id="11"/>
      <w:r>
        <w:rPr>
          <w:rFonts w:ascii="Times New Roman" w:hAnsi="Times New Roman" w:eastAsia="仿宋" w:cs="Times New Roman"/>
          <w:b/>
          <w:bCs/>
          <w:sz w:val="28"/>
          <w:szCs w:val="28"/>
        </w:rPr>
        <w:t>保护地整体变化情况</w:t>
      </w:r>
      <w:bookmarkEnd w:id="8"/>
      <w:bookmarkEnd w:id="9"/>
    </w:p>
    <w:p>
      <w:pPr>
        <w:pStyle w:val="2"/>
        <w:spacing w:line="360" w:lineRule="auto"/>
        <w:ind w:firstLine="560"/>
        <w:rPr>
          <w:rFonts w:ascii="Times New Roman" w:hAnsi="Times New Roman" w:eastAsia="仿宋" w:cs="Times New Roman"/>
          <w:sz w:val="28"/>
          <w:szCs w:val="28"/>
        </w:rPr>
      </w:pPr>
      <w:r>
        <w:rPr>
          <w:rFonts w:ascii="Times New Roman" w:hAnsi="Times New Roman" w:eastAsia="仿宋" w:cs="Times New Roman"/>
          <w:sz w:val="28"/>
          <w:szCs w:val="28"/>
        </w:rPr>
        <w:t>经进一步整合优化，</w:t>
      </w:r>
      <w:r>
        <w:rPr>
          <w:rFonts w:hint="eastAsia" w:ascii="Times New Roman" w:hAnsi="Times New Roman" w:eastAsia="仿宋" w:cs="Times New Roman"/>
          <w:sz w:val="28"/>
          <w:szCs w:val="28"/>
        </w:rPr>
        <w:t>云城区</w:t>
      </w:r>
      <w:r>
        <w:rPr>
          <w:rFonts w:ascii="Times New Roman" w:hAnsi="Times New Roman" w:eastAsia="仿宋" w:cs="Times New Roman"/>
          <w:sz w:val="28"/>
          <w:szCs w:val="28"/>
        </w:rPr>
        <w:t>自然保护地由</w:t>
      </w:r>
      <w:r>
        <w:rPr>
          <w:rFonts w:hint="eastAsia" w:ascii="Times New Roman" w:hAnsi="Times New Roman" w:eastAsia="仿宋" w:cs="Times New Roman"/>
          <w:sz w:val="28"/>
          <w:szCs w:val="28"/>
        </w:rPr>
        <w:t>9</w:t>
      </w:r>
      <w:r>
        <w:rPr>
          <w:rFonts w:ascii="Times New Roman" w:hAnsi="Times New Roman" w:eastAsia="仿宋" w:cs="Times New Roman"/>
          <w:sz w:val="28"/>
          <w:szCs w:val="28"/>
        </w:rPr>
        <w:t>处减至</w:t>
      </w:r>
      <w:r>
        <w:rPr>
          <w:rFonts w:hint="eastAsia" w:ascii="Times New Roman" w:hAnsi="Times New Roman" w:eastAsia="仿宋" w:cs="Times New Roman"/>
          <w:sz w:val="28"/>
          <w:szCs w:val="28"/>
        </w:rPr>
        <w:t>3</w:t>
      </w:r>
      <w:r>
        <w:rPr>
          <w:rFonts w:ascii="Times New Roman" w:hAnsi="Times New Roman" w:eastAsia="仿宋" w:cs="Times New Roman"/>
          <w:sz w:val="28"/>
          <w:szCs w:val="28"/>
        </w:rPr>
        <w:t>处（减少</w:t>
      </w:r>
      <w:r>
        <w:rPr>
          <w:rFonts w:hint="eastAsia" w:ascii="Times New Roman" w:hAnsi="Times New Roman" w:eastAsia="仿宋" w:cs="Times New Roman"/>
          <w:sz w:val="28"/>
          <w:szCs w:val="28"/>
        </w:rPr>
        <w:t>6</w:t>
      </w:r>
      <w:r>
        <w:rPr>
          <w:rFonts w:ascii="Times New Roman" w:hAnsi="Times New Roman" w:eastAsia="仿宋" w:cs="Times New Roman"/>
          <w:sz w:val="28"/>
          <w:szCs w:val="28"/>
        </w:rPr>
        <w:t>处），总面积由8391.68公顷缩减至6918.41公顷（减少1473.27公顷）。其中，自然保护区减少</w:t>
      </w:r>
      <w:r>
        <w:rPr>
          <w:rFonts w:hint="eastAsia" w:ascii="Times New Roman" w:hAnsi="Times New Roman" w:eastAsia="仿宋" w:cs="Times New Roman"/>
          <w:sz w:val="28"/>
          <w:szCs w:val="28"/>
        </w:rPr>
        <w:t>2</w:t>
      </w:r>
      <w:r>
        <w:rPr>
          <w:rFonts w:ascii="Times New Roman" w:hAnsi="Times New Roman" w:eastAsia="仿宋" w:cs="Times New Roman"/>
          <w:sz w:val="28"/>
          <w:szCs w:val="28"/>
        </w:rPr>
        <w:t>处、归并为</w:t>
      </w:r>
      <w:r>
        <w:rPr>
          <w:rFonts w:hint="eastAsia" w:ascii="Times New Roman" w:hAnsi="Times New Roman" w:eastAsia="仿宋" w:cs="Times New Roman"/>
          <w:sz w:val="28"/>
          <w:szCs w:val="28"/>
        </w:rPr>
        <w:t>1</w:t>
      </w:r>
      <w:r>
        <w:rPr>
          <w:rFonts w:ascii="Times New Roman" w:hAnsi="Times New Roman" w:eastAsia="仿宋" w:cs="Times New Roman"/>
          <w:sz w:val="28"/>
          <w:szCs w:val="28"/>
        </w:rPr>
        <w:t>处省级森林公园，自然保护区总面积减少3777.39公顷；省级风景名胜区未作调整，保持省级1处，不变；森林公园数量减少</w:t>
      </w:r>
      <w:r>
        <w:rPr>
          <w:rFonts w:hint="eastAsia" w:ascii="Times New Roman" w:hAnsi="Times New Roman" w:eastAsia="仿宋" w:cs="Times New Roman"/>
          <w:sz w:val="28"/>
          <w:szCs w:val="28"/>
        </w:rPr>
        <w:t>3</w:t>
      </w:r>
      <w:r>
        <w:rPr>
          <w:rFonts w:ascii="Times New Roman" w:hAnsi="Times New Roman" w:eastAsia="仿宋" w:cs="Times New Roman"/>
          <w:sz w:val="28"/>
          <w:szCs w:val="28"/>
        </w:rPr>
        <w:t>处，总面积增加2468.28公顷</w:t>
      </w:r>
      <w:r>
        <w:rPr>
          <w:rFonts w:hint="eastAsia" w:ascii="Times New Roman" w:hAnsi="Times New Roman" w:eastAsia="仿宋" w:cs="Times New Roman"/>
          <w:sz w:val="28"/>
          <w:szCs w:val="28"/>
        </w:rPr>
        <w:t>（</w:t>
      </w:r>
      <w:r>
        <w:rPr>
          <w:rFonts w:ascii="Times New Roman" w:hAnsi="Times New Roman" w:eastAsia="仿宋" w:cs="Times New Roman"/>
          <w:sz w:val="28"/>
          <w:szCs w:val="28"/>
        </w:rPr>
        <w:t>市县级面积减少1309.11公顷，省级森林公园面积增加3777.39公顷</w:t>
      </w:r>
      <w:r>
        <w:rPr>
          <w:rFonts w:hint="eastAsia" w:ascii="Times New Roman" w:hAnsi="Times New Roman" w:eastAsia="仿宋" w:cs="Times New Roman"/>
          <w:sz w:val="28"/>
          <w:szCs w:val="28"/>
        </w:rPr>
        <w:t>）</w:t>
      </w:r>
      <w:r>
        <w:rPr>
          <w:rFonts w:ascii="Times New Roman" w:hAnsi="Times New Roman" w:eastAsia="仿宋" w:cs="Times New Roman"/>
          <w:sz w:val="28"/>
          <w:szCs w:val="28"/>
        </w:rPr>
        <w:t>；湿地公园减少</w:t>
      </w:r>
      <w:r>
        <w:rPr>
          <w:rFonts w:hint="eastAsia" w:ascii="Times New Roman" w:hAnsi="Times New Roman" w:eastAsia="仿宋" w:cs="Times New Roman"/>
          <w:sz w:val="28"/>
          <w:szCs w:val="28"/>
        </w:rPr>
        <w:t>2</w:t>
      </w:r>
      <w:r>
        <w:rPr>
          <w:rFonts w:ascii="Times New Roman" w:hAnsi="Times New Roman" w:eastAsia="仿宋" w:cs="Times New Roman"/>
          <w:sz w:val="28"/>
          <w:szCs w:val="28"/>
        </w:rPr>
        <w:t>处，总面积减少164.16公顷。</w:t>
      </w:r>
    </w:p>
    <w:p>
      <w:pPr>
        <w:pStyle w:val="2"/>
        <w:spacing w:line="360" w:lineRule="auto"/>
        <w:ind w:firstLine="560"/>
        <w:rPr>
          <w:rFonts w:ascii="Times New Roman" w:hAnsi="Times New Roman" w:eastAsia="仿宋" w:cs="Times New Roman"/>
          <w:sz w:val="28"/>
          <w:szCs w:val="28"/>
        </w:rPr>
      </w:pPr>
      <w:r>
        <w:rPr>
          <w:rFonts w:hint="eastAsia" w:ascii="Times New Roman" w:hAnsi="Times New Roman" w:eastAsia="仿宋" w:cs="Times New Roman"/>
          <w:sz w:val="28"/>
          <w:szCs w:val="28"/>
        </w:rPr>
        <w:t>云城区</w:t>
      </w:r>
      <w:r>
        <w:rPr>
          <w:rFonts w:ascii="Times New Roman" w:hAnsi="Times New Roman" w:eastAsia="仿宋" w:cs="Times New Roman"/>
          <w:sz w:val="28"/>
          <w:szCs w:val="28"/>
        </w:rPr>
        <w:t>自然保护区管控分区进一步整合优化后，</w:t>
      </w:r>
      <w:r>
        <w:rPr>
          <w:rFonts w:hint="eastAsia" w:ascii="Times New Roman" w:hAnsi="Times New Roman" w:eastAsia="仿宋" w:cs="Times New Roman"/>
          <w:sz w:val="28"/>
          <w:szCs w:val="28"/>
        </w:rPr>
        <w:t>均为一般控制区，其中，2</w:t>
      </w:r>
      <w:r>
        <w:rPr>
          <w:rFonts w:ascii="Times New Roman" w:hAnsi="Times New Roman" w:eastAsia="仿宋" w:cs="Times New Roman"/>
          <w:sz w:val="28"/>
          <w:szCs w:val="28"/>
        </w:rPr>
        <w:t>处市级自然保护区归并为</w:t>
      </w:r>
      <w:r>
        <w:rPr>
          <w:rFonts w:hint="eastAsia" w:ascii="Times New Roman" w:hAnsi="Times New Roman" w:eastAsia="仿宋" w:cs="Times New Roman"/>
          <w:sz w:val="28"/>
          <w:szCs w:val="28"/>
        </w:rPr>
        <w:t>1</w:t>
      </w:r>
      <w:r>
        <w:rPr>
          <w:rFonts w:ascii="Times New Roman" w:hAnsi="Times New Roman" w:eastAsia="仿宋" w:cs="Times New Roman"/>
          <w:sz w:val="28"/>
          <w:szCs w:val="28"/>
        </w:rPr>
        <w:t>处省级森林公园，自然保护区总面积减少3777.39公顷，其中核心保护区1035.97公顷、一般控制区2741.42公顷。</w:t>
      </w:r>
    </w:p>
    <w:p>
      <w:pPr>
        <w:pStyle w:val="2"/>
        <w:spacing w:line="360" w:lineRule="auto"/>
        <w:ind w:firstLine="643"/>
        <w:outlineLvl w:val="0"/>
        <w:rPr>
          <w:rFonts w:ascii="Times New Roman" w:hAnsi="Times New Roman" w:eastAsia="仿宋" w:cs="Times New Roman"/>
          <w:b/>
          <w:bCs/>
          <w:sz w:val="32"/>
          <w:szCs w:val="40"/>
        </w:rPr>
      </w:pPr>
      <w:bookmarkStart w:id="12" w:name="_Toc15925"/>
      <w:r>
        <w:rPr>
          <w:rFonts w:ascii="Times New Roman" w:hAnsi="Times New Roman" w:eastAsia="仿宋" w:cs="Times New Roman"/>
          <w:b/>
          <w:bCs/>
          <w:sz w:val="32"/>
          <w:szCs w:val="40"/>
        </w:rPr>
        <w:t>三、自然保护地撤销转换情况</w:t>
      </w:r>
      <w:bookmarkEnd w:id="12"/>
    </w:p>
    <w:p>
      <w:pPr>
        <w:pStyle w:val="2"/>
        <w:spacing w:line="360" w:lineRule="auto"/>
        <w:ind w:firstLine="560"/>
        <w:rPr>
          <w:rFonts w:ascii="Times New Roman" w:hAnsi="Times New Roman" w:eastAsia="仿宋" w:cs="Times New Roman"/>
          <w:sz w:val="28"/>
          <w:szCs w:val="28"/>
        </w:rPr>
      </w:pPr>
      <w:r>
        <w:rPr>
          <w:rFonts w:ascii="Times New Roman" w:hAnsi="Times New Roman" w:eastAsia="仿宋" w:cs="Times New Roman"/>
          <w:sz w:val="28"/>
          <w:szCs w:val="28"/>
        </w:rPr>
        <w:t>经初步分析，云城区撤销转换自然保护地共5处，面积约1473.27公顷，其中撤销4处，其余1处自然公园后续将根据实际情况转为山地公园进行保护利用。</w:t>
      </w:r>
    </w:p>
    <w:p>
      <w:pPr>
        <w:jc w:val="center"/>
        <w:rPr>
          <w:rFonts w:ascii="Times New Roman" w:hAnsi="Times New Roman" w:eastAsia="仿宋" w:cs="Times New Roman"/>
          <w:b/>
          <w:bCs/>
          <w:sz w:val="24"/>
        </w:rPr>
      </w:pPr>
      <w:r>
        <w:rPr>
          <w:rFonts w:ascii="Times New Roman" w:hAnsi="Times New Roman" w:eastAsia="仿宋" w:cs="Times New Roman"/>
          <w:b/>
          <w:bCs/>
          <w:sz w:val="24"/>
        </w:rPr>
        <w:t>自然保护地撤销转换情况（单位：公顷）</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2174"/>
        <w:gridCol w:w="915"/>
        <w:gridCol w:w="783"/>
        <w:gridCol w:w="1064"/>
        <w:gridCol w:w="1335"/>
        <w:gridCol w:w="2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6"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序号</w:t>
            </w:r>
          </w:p>
        </w:tc>
        <w:tc>
          <w:tcPr>
            <w:tcW w:w="1091"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自然保护地名称</w:t>
            </w:r>
          </w:p>
        </w:tc>
        <w:tc>
          <w:tcPr>
            <w:tcW w:w="459"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类型</w:t>
            </w:r>
          </w:p>
        </w:tc>
        <w:tc>
          <w:tcPr>
            <w:tcW w:w="391"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级别</w:t>
            </w:r>
          </w:p>
        </w:tc>
        <w:tc>
          <w:tcPr>
            <w:tcW w:w="534"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面积</w:t>
            </w:r>
          </w:p>
        </w:tc>
        <w:tc>
          <w:tcPr>
            <w:tcW w:w="670"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撤销</w:t>
            </w:r>
            <w:r>
              <w:rPr>
                <w:rStyle w:val="21"/>
                <w:rFonts w:eastAsia="仿宋"/>
              </w:rPr>
              <w:t>/</w:t>
            </w:r>
            <w:r>
              <w:rPr>
                <w:rFonts w:ascii="Times New Roman" w:hAnsi="Times New Roman" w:eastAsia="仿宋" w:cs="Times New Roman"/>
                <w:b/>
                <w:bCs/>
                <w:color w:val="000000"/>
                <w:kern w:val="0"/>
                <w:sz w:val="24"/>
              </w:rPr>
              <w:t>转换</w:t>
            </w:r>
          </w:p>
        </w:tc>
        <w:tc>
          <w:tcPr>
            <w:tcW w:w="1476"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撤销转换理由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3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w:t>
            </w:r>
          </w:p>
        </w:tc>
        <w:tc>
          <w:tcPr>
            <w:tcW w:w="10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云浮云城笔架山地方级森林公园</w:t>
            </w:r>
          </w:p>
        </w:tc>
        <w:tc>
          <w:tcPr>
            <w:tcW w:w="45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森林公园</w:t>
            </w:r>
          </w:p>
        </w:tc>
        <w:tc>
          <w:tcPr>
            <w:tcW w:w="3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市级</w:t>
            </w:r>
          </w:p>
        </w:tc>
        <w:tc>
          <w:tcPr>
            <w:tcW w:w="534"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175.98</w:t>
            </w:r>
          </w:p>
        </w:tc>
        <w:tc>
          <w:tcPr>
            <w:tcW w:w="670"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转换</w:t>
            </w:r>
          </w:p>
        </w:tc>
        <w:tc>
          <w:tcPr>
            <w:tcW w:w="14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面积较小，临近城区，人为活动频繁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2</w:t>
            </w:r>
          </w:p>
        </w:tc>
        <w:tc>
          <w:tcPr>
            <w:tcW w:w="10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云浮云城观音山地方级森林公园</w:t>
            </w:r>
          </w:p>
        </w:tc>
        <w:tc>
          <w:tcPr>
            <w:tcW w:w="45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森林公园</w:t>
            </w:r>
          </w:p>
        </w:tc>
        <w:tc>
          <w:tcPr>
            <w:tcW w:w="3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市级</w:t>
            </w:r>
          </w:p>
        </w:tc>
        <w:tc>
          <w:tcPr>
            <w:tcW w:w="534"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140.01</w:t>
            </w:r>
          </w:p>
        </w:tc>
        <w:tc>
          <w:tcPr>
            <w:tcW w:w="670"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撤销</w:t>
            </w:r>
          </w:p>
        </w:tc>
        <w:tc>
          <w:tcPr>
            <w:tcW w:w="14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面积较小，纯松林28公顷（20%)，保护价值不大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3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3</w:t>
            </w:r>
          </w:p>
        </w:tc>
        <w:tc>
          <w:tcPr>
            <w:tcW w:w="10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云浮云城亚婆髻山地方级森林公园</w:t>
            </w:r>
          </w:p>
        </w:tc>
        <w:tc>
          <w:tcPr>
            <w:tcW w:w="45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森林公园</w:t>
            </w:r>
          </w:p>
        </w:tc>
        <w:tc>
          <w:tcPr>
            <w:tcW w:w="3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县级</w:t>
            </w:r>
          </w:p>
        </w:tc>
        <w:tc>
          <w:tcPr>
            <w:tcW w:w="534"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993.12</w:t>
            </w:r>
          </w:p>
        </w:tc>
        <w:tc>
          <w:tcPr>
            <w:tcW w:w="670"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撤销</w:t>
            </w:r>
          </w:p>
        </w:tc>
        <w:tc>
          <w:tcPr>
            <w:tcW w:w="14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纯松林481公顷（48%），保护价值不大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4</w:t>
            </w:r>
          </w:p>
        </w:tc>
        <w:tc>
          <w:tcPr>
            <w:tcW w:w="10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云浮云城大蓬水库地方级湿地公园</w:t>
            </w:r>
          </w:p>
        </w:tc>
        <w:tc>
          <w:tcPr>
            <w:tcW w:w="45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湿地公园</w:t>
            </w:r>
          </w:p>
        </w:tc>
        <w:tc>
          <w:tcPr>
            <w:tcW w:w="3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县级</w:t>
            </w:r>
          </w:p>
        </w:tc>
        <w:tc>
          <w:tcPr>
            <w:tcW w:w="534"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72.46</w:t>
            </w:r>
          </w:p>
        </w:tc>
        <w:tc>
          <w:tcPr>
            <w:tcW w:w="670"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撤销</w:t>
            </w:r>
          </w:p>
        </w:tc>
        <w:tc>
          <w:tcPr>
            <w:tcW w:w="14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面积较小，水库水面仅5公顷，保护价值不大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3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5</w:t>
            </w:r>
          </w:p>
        </w:tc>
        <w:tc>
          <w:tcPr>
            <w:tcW w:w="10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云浮云城云龙水库地方级湿地公园</w:t>
            </w:r>
          </w:p>
        </w:tc>
        <w:tc>
          <w:tcPr>
            <w:tcW w:w="45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湿地公园</w:t>
            </w:r>
          </w:p>
        </w:tc>
        <w:tc>
          <w:tcPr>
            <w:tcW w:w="391"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县级</w:t>
            </w:r>
          </w:p>
        </w:tc>
        <w:tc>
          <w:tcPr>
            <w:tcW w:w="534"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91.7</w:t>
            </w:r>
          </w:p>
        </w:tc>
        <w:tc>
          <w:tcPr>
            <w:tcW w:w="670"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撤销</w:t>
            </w:r>
          </w:p>
        </w:tc>
        <w:tc>
          <w:tcPr>
            <w:tcW w:w="147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面积较小，水库水面仅7公顷，保护价值不大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319" w:type="pct"/>
            <w:gridSpan w:val="4"/>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合计</w:t>
            </w:r>
          </w:p>
        </w:tc>
        <w:tc>
          <w:tcPr>
            <w:tcW w:w="534"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1473.27</w:t>
            </w:r>
          </w:p>
        </w:tc>
        <w:tc>
          <w:tcPr>
            <w:tcW w:w="670"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p>
        </w:tc>
        <w:tc>
          <w:tcPr>
            <w:tcW w:w="1476" w:type="pct"/>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p>
        </w:tc>
      </w:tr>
    </w:tbl>
    <w:p>
      <w:pPr>
        <w:pStyle w:val="2"/>
      </w:pPr>
      <w:bookmarkStart w:id="13" w:name="_Toc26947"/>
    </w:p>
    <w:p>
      <w:pPr>
        <w:pStyle w:val="2"/>
        <w:spacing w:line="360" w:lineRule="auto"/>
        <w:ind w:firstLine="643"/>
        <w:outlineLvl w:val="0"/>
        <w:rPr>
          <w:rFonts w:ascii="Times New Roman" w:hAnsi="Times New Roman" w:eastAsia="仿宋" w:cs="Times New Roman"/>
          <w:b/>
          <w:bCs/>
          <w:sz w:val="32"/>
          <w:szCs w:val="40"/>
        </w:rPr>
      </w:pPr>
      <w:r>
        <w:rPr>
          <w:rFonts w:ascii="Times New Roman" w:hAnsi="Times New Roman" w:eastAsia="仿宋" w:cs="Times New Roman"/>
          <w:b/>
          <w:bCs/>
          <w:sz w:val="32"/>
          <w:szCs w:val="40"/>
        </w:rPr>
        <w:t>四、自然保护地归并情况</w:t>
      </w:r>
      <w:bookmarkEnd w:id="13"/>
    </w:p>
    <w:p>
      <w:pPr>
        <w:pStyle w:val="2"/>
        <w:spacing w:line="360" w:lineRule="auto"/>
        <w:ind w:firstLine="560"/>
        <w:rPr>
          <w:rFonts w:ascii="Times New Roman" w:hAnsi="Times New Roman" w:eastAsia="仿宋" w:cs="Times New Roman"/>
          <w:sz w:val="28"/>
          <w:szCs w:val="28"/>
        </w:rPr>
      </w:pPr>
      <w:bookmarkStart w:id="14" w:name="OLE_LINK32"/>
      <w:bookmarkStart w:id="15" w:name="OLE_LINK33"/>
      <w:r>
        <w:rPr>
          <w:rFonts w:ascii="Times New Roman" w:hAnsi="Times New Roman" w:eastAsia="仿宋" w:cs="Times New Roman"/>
          <w:sz w:val="28"/>
          <w:szCs w:val="28"/>
        </w:rPr>
        <w:t>将云浮大云雾山地方级自然保护区和云浮崖楼山地方级自然保护区归并为1处省级森林公园，暂定命名云浮大云雾山地方级森林公园，面积3777.39公顷。</w:t>
      </w:r>
    </w:p>
    <w:p>
      <w:pPr>
        <w:jc w:val="center"/>
        <w:rPr>
          <w:rFonts w:ascii="Times New Roman" w:hAnsi="Times New Roman" w:eastAsia="仿宋" w:cs="Times New Roman"/>
          <w:b/>
          <w:bCs/>
          <w:sz w:val="24"/>
        </w:rPr>
      </w:pPr>
      <w:r>
        <w:rPr>
          <w:rFonts w:ascii="Times New Roman" w:hAnsi="Times New Roman" w:eastAsia="仿宋" w:cs="Times New Roman"/>
          <w:b/>
          <w:bCs/>
          <w:sz w:val="24"/>
        </w:rPr>
        <w:t>自然保护地归并情况（单位：公顷）</w:t>
      </w:r>
    </w:p>
    <w:bookmarkEnd w:id="14"/>
    <w:bookmarkEnd w:id="15"/>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529"/>
        <w:gridCol w:w="1109"/>
        <w:gridCol w:w="763"/>
        <w:gridCol w:w="1263"/>
        <w:gridCol w:w="1468"/>
        <w:gridCol w:w="809"/>
        <w:gridCol w:w="715"/>
        <w:gridCol w:w="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75" w:type="pct"/>
            <w:vMerge w:val="restar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序号</w:t>
            </w:r>
          </w:p>
        </w:tc>
        <w:tc>
          <w:tcPr>
            <w:tcW w:w="2842" w:type="pct"/>
            <w:gridSpan w:val="4"/>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归并前自然保护地</w:t>
            </w:r>
          </w:p>
        </w:tc>
        <w:tc>
          <w:tcPr>
            <w:tcW w:w="1882" w:type="pct"/>
            <w:gridSpan w:val="4"/>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归并后自然保护地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75" w:type="pct"/>
            <w:vMerge w:val="continue"/>
            <w:shd w:val="clear" w:color="auto" w:fill="auto"/>
            <w:noWrap/>
            <w:vAlign w:val="center"/>
          </w:tcPr>
          <w:p>
            <w:pPr>
              <w:jc w:val="center"/>
              <w:rPr>
                <w:rFonts w:ascii="Times New Roman" w:hAnsi="Times New Roman" w:eastAsia="仿宋" w:cs="Times New Roman"/>
                <w:b/>
                <w:bCs/>
                <w:color w:val="000000"/>
                <w:sz w:val="24"/>
              </w:rPr>
            </w:pPr>
          </w:p>
        </w:tc>
        <w:tc>
          <w:tcPr>
            <w:tcW w:w="1269"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名称</w:t>
            </w:r>
          </w:p>
        </w:tc>
        <w:tc>
          <w:tcPr>
            <w:tcW w:w="556"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类型</w:t>
            </w:r>
          </w:p>
        </w:tc>
        <w:tc>
          <w:tcPr>
            <w:tcW w:w="383"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级别</w:t>
            </w:r>
          </w:p>
        </w:tc>
        <w:tc>
          <w:tcPr>
            <w:tcW w:w="632"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面积</w:t>
            </w:r>
          </w:p>
        </w:tc>
        <w:tc>
          <w:tcPr>
            <w:tcW w:w="737"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名称</w:t>
            </w:r>
          </w:p>
        </w:tc>
        <w:tc>
          <w:tcPr>
            <w:tcW w:w="406"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类型</w:t>
            </w:r>
          </w:p>
        </w:tc>
        <w:tc>
          <w:tcPr>
            <w:tcW w:w="359"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级别</w:t>
            </w:r>
          </w:p>
        </w:tc>
        <w:tc>
          <w:tcPr>
            <w:tcW w:w="378" w:type="pct"/>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75"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8</w:t>
            </w:r>
          </w:p>
        </w:tc>
        <w:tc>
          <w:tcPr>
            <w:tcW w:w="126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云浮大云雾山地方级自然保护区</w:t>
            </w:r>
          </w:p>
        </w:tc>
        <w:tc>
          <w:tcPr>
            <w:tcW w:w="55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自然保护区</w:t>
            </w:r>
          </w:p>
        </w:tc>
        <w:tc>
          <w:tcPr>
            <w:tcW w:w="383"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市级</w:t>
            </w:r>
          </w:p>
        </w:tc>
        <w:tc>
          <w:tcPr>
            <w:tcW w:w="632"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1417.87</w:t>
            </w:r>
          </w:p>
        </w:tc>
        <w:tc>
          <w:tcPr>
            <w:tcW w:w="737" w:type="pct"/>
            <w:vMerge w:val="restar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云浮大云雾山地方级森林公园</w:t>
            </w:r>
          </w:p>
        </w:tc>
        <w:tc>
          <w:tcPr>
            <w:tcW w:w="406" w:type="pct"/>
            <w:vMerge w:val="restar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森林公园</w:t>
            </w:r>
          </w:p>
        </w:tc>
        <w:tc>
          <w:tcPr>
            <w:tcW w:w="359" w:type="pct"/>
            <w:vMerge w:val="restar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省级</w:t>
            </w:r>
          </w:p>
        </w:tc>
        <w:tc>
          <w:tcPr>
            <w:tcW w:w="378" w:type="pct"/>
            <w:vMerge w:val="restar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3777.39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75"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9</w:t>
            </w:r>
          </w:p>
        </w:tc>
        <w:tc>
          <w:tcPr>
            <w:tcW w:w="1269"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云浮崖楼山地方级自然保护区</w:t>
            </w:r>
          </w:p>
        </w:tc>
        <w:tc>
          <w:tcPr>
            <w:tcW w:w="556"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自然保护区</w:t>
            </w:r>
          </w:p>
        </w:tc>
        <w:tc>
          <w:tcPr>
            <w:tcW w:w="383"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市级</w:t>
            </w:r>
          </w:p>
        </w:tc>
        <w:tc>
          <w:tcPr>
            <w:tcW w:w="632" w:type="pct"/>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2359.52</w:t>
            </w:r>
          </w:p>
        </w:tc>
        <w:tc>
          <w:tcPr>
            <w:tcW w:w="737" w:type="pct"/>
            <w:vMerge w:val="continue"/>
            <w:shd w:val="clear" w:color="auto" w:fill="auto"/>
            <w:noWrap/>
            <w:vAlign w:val="center"/>
          </w:tcPr>
          <w:p>
            <w:pPr>
              <w:jc w:val="center"/>
              <w:rPr>
                <w:rFonts w:ascii="Times New Roman" w:hAnsi="Times New Roman" w:eastAsia="仿宋" w:cs="Times New Roman"/>
                <w:color w:val="000000"/>
                <w:sz w:val="24"/>
              </w:rPr>
            </w:pPr>
          </w:p>
        </w:tc>
        <w:tc>
          <w:tcPr>
            <w:tcW w:w="406" w:type="pct"/>
            <w:vMerge w:val="continue"/>
            <w:shd w:val="clear" w:color="auto" w:fill="auto"/>
            <w:noWrap/>
            <w:vAlign w:val="center"/>
          </w:tcPr>
          <w:p>
            <w:pPr>
              <w:jc w:val="center"/>
              <w:rPr>
                <w:rFonts w:ascii="Times New Roman" w:hAnsi="Times New Roman" w:eastAsia="仿宋" w:cs="Times New Roman"/>
                <w:color w:val="000000"/>
                <w:sz w:val="24"/>
              </w:rPr>
            </w:pPr>
          </w:p>
        </w:tc>
        <w:tc>
          <w:tcPr>
            <w:tcW w:w="359" w:type="pct"/>
            <w:vMerge w:val="continue"/>
            <w:shd w:val="clear" w:color="auto" w:fill="auto"/>
            <w:noWrap/>
            <w:vAlign w:val="center"/>
          </w:tcPr>
          <w:p>
            <w:pPr>
              <w:jc w:val="center"/>
              <w:rPr>
                <w:rFonts w:ascii="Times New Roman" w:hAnsi="Times New Roman" w:eastAsia="仿宋" w:cs="Times New Roman"/>
                <w:color w:val="000000"/>
                <w:sz w:val="24"/>
              </w:rPr>
            </w:pPr>
          </w:p>
        </w:tc>
        <w:tc>
          <w:tcPr>
            <w:tcW w:w="378" w:type="pct"/>
            <w:vMerge w:val="continue"/>
            <w:shd w:val="clear" w:color="auto" w:fill="auto"/>
            <w:noWrap/>
            <w:vAlign w:val="center"/>
          </w:tcPr>
          <w:p>
            <w:pPr>
              <w:jc w:val="center"/>
              <w:rPr>
                <w:rFonts w:ascii="Times New Roman" w:hAnsi="Times New Roman" w:eastAsia="仿宋" w:cs="Times New Roman"/>
                <w:color w:val="000000"/>
                <w:sz w:val="24"/>
              </w:rPr>
            </w:pPr>
          </w:p>
        </w:tc>
      </w:tr>
    </w:tbl>
    <w:p>
      <w:pPr>
        <w:pStyle w:val="2"/>
      </w:pPr>
      <w:bookmarkStart w:id="16" w:name="_Toc32581"/>
    </w:p>
    <w:p>
      <w:pPr>
        <w:pStyle w:val="2"/>
        <w:spacing w:line="360" w:lineRule="auto"/>
        <w:ind w:firstLine="643"/>
        <w:outlineLvl w:val="0"/>
        <w:rPr>
          <w:rFonts w:ascii="Times New Roman" w:hAnsi="Times New Roman" w:eastAsia="仿宋" w:cs="Times New Roman"/>
          <w:b/>
          <w:bCs/>
          <w:sz w:val="32"/>
          <w:szCs w:val="40"/>
        </w:rPr>
      </w:pPr>
      <w:r>
        <w:rPr>
          <w:rFonts w:ascii="Times New Roman" w:hAnsi="Times New Roman" w:eastAsia="仿宋" w:cs="Times New Roman"/>
          <w:b/>
          <w:bCs/>
          <w:sz w:val="32"/>
          <w:szCs w:val="40"/>
        </w:rPr>
        <w:t>五、自然保护地保留情况</w:t>
      </w:r>
      <w:bookmarkEnd w:id="16"/>
    </w:p>
    <w:p>
      <w:pPr>
        <w:pStyle w:val="2"/>
        <w:spacing w:line="360" w:lineRule="auto"/>
        <w:ind w:firstLine="560"/>
        <w:rPr>
          <w:rFonts w:ascii="Times New Roman" w:hAnsi="Times New Roman" w:eastAsia="仿宋" w:cs="Times New Roman"/>
          <w:sz w:val="28"/>
          <w:szCs w:val="28"/>
        </w:rPr>
      </w:pPr>
      <w:r>
        <w:rPr>
          <w:rFonts w:ascii="Times New Roman" w:hAnsi="Times New Roman" w:eastAsia="仿宋" w:cs="Times New Roman"/>
          <w:sz w:val="28"/>
          <w:szCs w:val="28"/>
        </w:rPr>
        <w:t>云城区单独保留自然保护地2处，包括风景名胜区1处、森林公园1处，均为一处。</w:t>
      </w:r>
    </w:p>
    <w:p>
      <w:pPr>
        <w:jc w:val="center"/>
        <w:rPr>
          <w:rFonts w:ascii="Times New Roman" w:hAnsi="Times New Roman" w:eastAsia="仿宋" w:cs="Times New Roman"/>
          <w:b/>
          <w:bCs/>
          <w:sz w:val="24"/>
        </w:rPr>
      </w:pPr>
      <w:r>
        <w:rPr>
          <w:rFonts w:ascii="Times New Roman" w:hAnsi="Times New Roman" w:eastAsia="仿宋" w:cs="Times New Roman"/>
          <w:b/>
          <w:bCs/>
          <w:sz w:val="24"/>
        </w:rPr>
        <w:t>自然保护地保留情况（单位：公顷）</w:t>
      </w:r>
    </w:p>
    <w:p>
      <w:pPr>
        <w:pStyle w:val="5"/>
        <w:rPr>
          <w:rFonts w:ascii="Times New Roman" w:hAnsi="Times New Roman" w:eastAsia="仿宋" w:cs="Times New Roman"/>
        </w:rPr>
      </w:pPr>
    </w:p>
    <w:tbl>
      <w:tblPr>
        <w:tblStyle w:val="10"/>
        <w:tblW w:w="98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3405"/>
        <w:gridCol w:w="1440"/>
        <w:gridCol w:w="727"/>
        <w:gridCol w:w="1311"/>
        <w:gridCol w:w="2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78"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序号</w:t>
            </w:r>
          </w:p>
        </w:tc>
        <w:tc>
          <w:tcPr>
            <w:tcW w:w="3405"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自然保护地名称</w:t>
            </w:r>
          </w:p>
        </w:tc>
        <w:tc>
          <w:tcPr>
            <w:tcW w:w="1440"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类型</w:t>
            </w:r>
          </w:p>
        </w:tc>
        <w:tc>
          <w:tcPr>
            <w:tcW w:w="727"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级别</w:t>
            </w:r>
          </w:p>
        </w:tc>
        <w:tc>
          <w:tcPr>
            <w:tcW w:w="1311"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面积</w:t>
            </w:r>
          </w:p>
        </w:tc>
        <w:tc>
          <w:tcPr>
            <w:tcW w:w="2208" w:type="dxa"/>
            <w:shd w:val="clear" w:color="auto" w:fill="auto"/>
            <w:noWrap/>
            <w:vAlign w:val="center"/>
          </w:tcPr>
          <w:p>
            <w:pPr>
              <w:widowControl/>
              <w:jc w:val="center"/>
              <w:textAlignment w:val="center"/>
              <w:rPr>
                <w:rFonts w:ascii="Times New Roman" w:hAnsi="Times New Roman" w:eastAsia="仿宋" w:cs="Times New Roman"/>
                <w:b/>
                <w:bCs/>
                <w:color w:val="000000"/>
                <w:sz w:val="24"/>
              </w:rPr>
            </w:pPr>
            <w:r>
              <w:rPr>
                <w:rFonts w:ascii="Times New Roman" w:hAnsi="Times New Roman" w:eastAsia="仿宋" w:cs="Times New Roman"/>
                <w:b/>
                <w:bCs/>
                <w:color w:val="000000"/>
                <w:kern w:val="0"/>
                <w:sz w:val="24"/>
              </w:rPr>
              <w:t>单独保留理由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78"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w:t>
            </w:r>
          </w:p>
        </w:tc>
        <w:tc>
          <w:tcPr>
            <w:tcW w:w="3405"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云浮大金山地方级森林公园</w:t>
            </w:r>
          </w:p>
        </w:tc>
        <w:tc>
          <w:tcPr>
            <w:tcW w:w="1440"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森林公园</w:t>
            </w:r>
          </w:p>
        </w:tc>
        <w:tc>
          <w:tcPr>
            <w:tcW w:w="727"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省级</w:t>
            </w:r>
          </w:p>
        </w:tc>
        <w:tc>
          <w:tcPr>
            <w:tcW w:w="1311"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2109.73</w:t>
            </w:r>
          </w:p>
        </w:tc>
        <w:tc>
          <w:tcPr>
            <w:tcW w:w="2208" w:type="dxa"/>
            <w:shd w:val="clear" w:color="auto" w:fill="auto"/>
            <w:noWrap/>
            <w:vAlign w:val="center"/>
          </w:tcPr>
          <w:p>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省级，空间独立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78"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2</w:t>
            </w:r>
          </w:p>
        </w:tc>
        <w:tc>
          <w:tcPr>
            <w:tcW w:w="3405"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云浮蟠龙洞地方级风景名胜区</w:t>
            </w:r>
          </w:p>
        </w:tc>
        <w:tc>
          <w:tcPr>
            <w:tcW w:w="1440"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风景名胜区</w:t>
            </w:r>
          </w:p>
        </w:tc>
        <w:tc>
          <w:tcPr>
            <w:tcW w:w="727"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省级</w:t>
            </w:r>
          </w:p>
        </w:tc>
        <w:tc>
          <w:tcPr>
            <w:tcW w:w="1311" w:type="dxa"/>
            <w:shd w:val="clear" w:color="auto" w:fill="auto"/>
            <w:noWrap/>
            <w:vAlign w:val="center"/>
          </w:tcPr>
          <w:p>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rPr>
              <w:t>1031.29</w:t>
            </w:r>
          </w:p>
        </w:tc>
        <w:tc>
          <w:tcPr>
            <w:tcW w:w="2208" w:type="dxa"/>
            <w:shd w:val="clear" w:color="auto" w:fill="auto"/>
            <w:noWrap/>
            <w:vAlign w:val="center"/>
          </w:tcPr>
          <w:p>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省级，空间独立，资源禀赋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6350" w:type="dxa"/>
            <w:gridSpan w:val="4"/>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合计</w:t>
            </w:r>
          </w:p>
        </w:tc>
        <w:tc>
          <w:tcPr>
            <w:tcW w:w="1311" w:type="dxa"/>
            <w:shd w:val="clear" w:color="auto" w:fill="auto"/>
            <w:noWrap/>
            <w:vAlign w:val="center"/>
          </w:tcPr>
          <w:p>
            <w:pPr>
              <w:widowControl/>
              <w:jc w:val="center"/>
              <w:textAlignment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3141.02</w:t>
            </w:r>
          </w:p>
        </w:tc>
        <w:tc>
          <w:tcPr>
            <w:tcW w:w="2208" w:type="dxa"/>
            <w:shd w:val="clear" w:color="auto" w:fill="auto"/>
            <w:noWrap/>
            <w:vAlign w:val="center"/>
          </w:tcPr>
          <w:p>
            <w:pPr>
              <w:jc w:val="center"/>
              <w:rPr>
                <w:rFonts w:ascii="Times New Roman" w:hAnsi="Times New Roman" w:eastAsia="仿宋" w:cs="Times New Roman"/>
                <w:b/>
                <w:bCs/>
                <w:color w:val="000000"/>
                <w:sz w:val="24"/>
              </w:rPr>
            </w:pPr>
          </w:p>
        </w:tc>
      </w:tr>
    </w:tbl>
    <w:p>
      <w:pPr>
        <w:rPr>
          <w:rFonts w:ascii="Times New Roman" w:hAnsi="Times New Roman" w:eastAsia="仿宋" w:cs="Times New Roman"/>
        </w:rPr>
      </w:pPr>
    </w:p>
    <w:p>
      <w:pPr>
        <w:rPr>
          <w:rFonts w:ascii="Times New Roman" w:hAnsi="Times New Roman" w:eastAsia="仿宋" w:cs="Times New Roman"/>
          <w:b/>
          <w:bCs/>
          <w:sz w:val="32"/>
          <w:szCs w:val="40"/>
        </w:rPr>
      </w:pPr>
      <w:r>
        <w:rPr>
          <w:rFonts w:ascii="Times New Roman" w:hAnsi="Times New Roman" w:eastAsia="仿宋" w:cs="Times New Roman"/>
          <w:b/>
          <w:bCs/>
          <w:sz w:val="32"/>
          <w:szCs w:val="40"/>
        </w:rPr>
        <w:br w:type="page"/>
      </w:r>
      <w:bookmarkStart w:id="17" w:name="_Toc812"/>
      <w:r>
        <w:rPr>
          <w:rFonts w:ascii="Times New Roman" w:hAnsi="Times New Roman" w:eastAsia="仿宋" w:cs="Times New Roman"/>
          <w:b/>
          <w:bCs/>
          <w:sz w:val="32"/>
          <w:szCs w:val="40"/>
        </w:rPr>
        <w:t>六、附件</w:t>
      </w:r>
      <w:bookmarkEnd w:id="17"/>
    </w:p>
    <w:p>
      <w:pPr>
        <w:ind w:firstLine="640" w:firstLineChars="200"/>
        <w:outlineLvl w:val="1"/>
        <w:rPr>
          <w:rFonts w:ascii="Times New Roman" w:hAnsi="Times New Roman" w:eastAsia="仿宋" w:cs="Times New Roman"/>
          <w:b/>
          <w:bCs/>
          <w:sz w:val="32"/>
          <w:szCs w:val="40"/>
        </w:rPr>
      </w:pPr>
      <w:bookmarkStart w:id="18" w:name="_Toc30814"/>
      <w:bookmarkStart w:id="19" w:name="_Toc17250"/>
      <w:r>
        <w:rPr>
          <w:rFonts w:ascii="Times New Roman" w:hAnsi="Times New Roman" w:eastAsia="仿宋" w:cs="Times New Roman"/>
          <w:b/>
          <w:bCs/>
          <w:sz w:val="32"/>
          <w:szCs w:val="40"/>
        </w:rPr>
        <w:t>1、</w:t>
      </w:r>
      <w:bookmarkStart w:id="20" w:name="OLE_LINK4"/>
      <w:r>
        <w:rPr>
          <w:rFonts w:ascii="Times New Roman" w:hAnsi="Times New Roman" w:eastAsia="仿宋" w:cs="Times New Roman"/>
          <w:b/>
          <w:bCs/>
          <w:sz w:val="32"/>
          <w:szCs w:val="40"/>
        </w:rPr>
        <w:t>进一步整合优化</w:t>
      </w:r>
      <w:bookmarkEnd w:id="18"/>
      <w:bookmarkEnd w:id="20"/>
      <w:r>
        <w:rPr>
          <w:rFonts w:ascii="Times New Roman" w:hAnsi="Times New Roman" w:eastAsia="仿宋" w:cs="Times New Roman"/>
          <w:b/>
          <w:bCs/>
          <w:sz w:val="32"/>
          <w:szCs w:val="40"/>
        </w:rPr>
        <w:t>规则</w:t>
      </w:r>
      <w:bookmarkEnd w:id="19"/>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（一）基本规则</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 本轮整合优化包括保留、归并、撤销、转换四种方式。</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 以上报国家整合优化方案为工作底图，以单个自然保护地为基本工作单元，整体进行整合优化。</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 国家级、省级自然保护地原则上保持稳定，周边低级别自然保护地整合并入。</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 整合优化方案中仍作为独立自然保护地存在的原市、县级自然保护地按“撤销转换一半、归并保留一半”的原则进一步整合优化。撤转的数量不超过原市县级保护地的50%；纳入自然保护地体系管理的原市、县级自然保护地按地理邻近原则整合归并，或并入邻近的国家级、省级自然保护地。进一步整合优化后，市、县级自然保护地总面积不低于原市、县级自然保护地总面积的70%。每县原则上保留不超过3个市、县级自然保护地。</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（二）撤销转换</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1.整合优化方案中仍作为独立自然保护地存在国家级、省级自然保护地如面积较小、空间破碎、保护价值不大、无重要保护对象，提出备选名录，经地方单独评估论证，可进行撤销、转换。</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整合优化方案中仍作为独立自然保护地存在原市、县级自然保护地如面积较小、空间破碎、保护价值不大、无重要保护对象、达不到省级自然保护地设立标准的，经评估论证，可以撤销或转换成郊野公园、山地公园、城市公园等管理。</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3.试点国家湿地公园无适当理由逾期不申请验收，或整改后仍不达标的，原则上撤销。</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自然公园内具有重要自然生态系统、典型地质遗迹、重要自然和文化景观，以及红树林、泥炭地、珊瑚礁、海草床、国家珍稀濒危物种重要栖息地等的，不得撤销转换；涉及中央领导批示、世界自然遗产（含双遗产）、世界地质公园、国家（国际）重要湿地的自然保护地不得撤销转换；涉及中央环境保护督察等问题点位的，严格对标相关整改方案要求依法依规处理，严禁一撤了之、以撤代改。</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（三）归并</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综合考虑自然生态系统完整性、自然资源权属和管理体制的可行性，按照低级别服从高级别的原则进一步整合归并。被整合归并的自然保护地名称不再保留。</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1.与国家级、省级自然保护区或风景名胜区相邻、相连的其他自然保护地，原则上整合归并到国家级、省级自然保护区或风景名胜区。</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 空间上相连的多个自然公园，原则上整合归并为1个。</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 整合优化方案中仍为独立自然保护地的原市、县级自然保护地按地理邻近原则，可多个归并为一个，或并入邻近的国家级、省级自然保护地。</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 因自然保护地管理体制、资源权属、保护目标差异性等原因确实无法归并拟单独保留的原市、县级自然保护地，补充说明原因。</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（四）“天窗”处置</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对“三区三线”划定中为划永久基本农田调出自然保护地造成“天窗”的地块，进行“回填”，继续保留在自然保护地内，由地方逐步调出永久基本农田，仍按耕地进行统计、利用和管理。具体地块矢量数据将统一下发。</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合理回填其他不产生矛盾冲突的“天窗”地块，把真正具备保护价值的地块留在自然保护地内。确需回填的地块要评估论证，说明原因。</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（五）其他</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 各地要对整合优化中拟调出地块认真把关，逐一核查，坚决防止不符合规则的调出。如有此类情形，此次应回填到自然保护地。以项目用地为由调出的，若有项目不再实施、选址发生改变、矿业权灭失等情形，不再调出自然保护地。自然资源部、生态环境部、国家林草局和省相关部门将强化调出区域监管，对弄虚作假的依法严肃查处。</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 以堤坝类作为自然保护区核心保护区和一般控制区界限但划在核心保护区一侧的，本次可以改为一般控制区；本次归并入自然保护区且生态价值较高的区域，可划入核心保护区，合并后自然保护区核心保护区面积不能减少。</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 整合优化过程中新调入的零碎斑块，如无特殊保护价值，可从自然保护地中予以剔除。</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 整合优化期间已依法依规调整自然保护地范围和功能区的，可以在本轮进一步整合优化中进行衔接。</w:t>
      </w:r>
    </w:p>
    <w:p>
      <w:pPr>
        <w:rPr>
          <w:rFonts w:ascii="Times New Roman" w:hAnsi="Times New Roman" w:eastAsia="仿宋" w:cs="Times New Roman"/>
          <w:b/>
          <w:bCs/>
          <w:sz w:val="28"/>
          <w:szCs w:val="28"/>
        </w:rPr>
      </w:pPr>
      <w:r>
        <w:rPr>
          <w:rFonts w:ascii="Times New Roman" w:hAnsi="Times New Roman" w:eastAsia="仿宋" w:cs="Times New Roman"/>
          <w:b/>
          <w:bCs/>
          <w:sz w:val="28"/>
          <w:szCs w:val="28"/>
        </w:rPr>
        <w:br w:type="page"/>
      </w:r>
    </w:p>
    <w:p>
      <w:pPr>
        <w:spacing w:line="360" w:lineRule="auto"/>
        <w:ind w:firstLine="560" w:firstLineChars="200"/>
        <w:rPr>
          <w:rFonts w:ascii="Times New Roman" w:hAnsi="Times New Roman" w:eastAsia="仿宋" w:cs="Times New Roman"/>
          <w:b/>
          <w:bCs/>
          <w:sz w:val="28"/>
          <w:szCs w:val="28"/>
        </w:rPr>
      </w:pPr>
      <w:r>
        <w:rPr>
          <w:rFonts w:ascii="Times New Roman" w:hAnsi="Times New Roman" w:eastAsia="仿宋" w:cs="Times New Roman"/>
          <w:b/>
          <w:bCs/>
          <w:sz w:val="28"/>
          <w:szCs w:val="28"/>
        </w:rPr>
        <w:t>2、云浮市自然保护地会审意见</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2025年6月6日，广东省林业局在广州对云浮市自然保护地进一步整合优化草案进行会审，省自然资源厅、省生态环境厅、省农业农村厅相关处室负责同志，省林业局保护地处、公益林处、湿地处、动植物处相关负责同志，省林业调查规划院自然保护地监测室、湿地监测室负责同志参加了会议，形成如下会审意见：</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云浮市方案省会审意见：</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1.云浮市整体保护强度较弱，由于已建保护地数量少，撤销应更加慎重，目前没发现特殊物种的保护地需加强科学考察。</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 对方案中涉及撤销的自然保护地开展论证，重点论证其合规性与科学性，确保科学合理。</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 加强合并力度，有4个区域仍有空间：郁南县的大王山国家森林公园和周边的地方级森林公园、云城区和云安区的保护地、新兴的地方级自然保护区与地方及森林公园、以及罗定市的保护地，最少不低于2处进行合并。</w:t>
      </w:r>
    </w:p>
    <w:p>
      <w:pPr>
        <w:spacing w:line="360" w:lineRule="auto"/>
        <w:ind w:firstLine="560" w:firstLineChars="200"/>
        <w:rPr>
          <w:rFonts w:ascii="Times New Roman" w:hAnsi="Times New Roman" w:eastAsia="仿宋" w:cs="Times New Roman"/>
          <w:sz w:val="32"/>
          <w:szCs w:val="40"/>
        </w:rPr>
      </w:pPr>
      <w:r>
        <w:rPr>
          <w:rFonts w:ascii="Times New Roman" w:hAnsi="Times New Roman" w:eastAsia="仿宋" w:cs="Times New Roman"/>
          <w:sz w:val="28"/>
          <w:szCs w:val="28"/>
        </w:rPr>
        <w:t>4. 罗定市地方级森林公园斑块多，省里再次核定是否属新调入斑块，下一步需重点治理。</w:t>
      </w:r>
      <w:r>
        <w:rPr>
          <w:rFonts w:ascii="Times New Roman" w:hAnsi="Times New Roman" w:eastAsia="仿宋" w:cs="Times New Roman"/>
          <w:sz w:val="32"/>
          <w:szCs w:val="40"/>
        </w:rPr>
        <w:br w:type="page"/>
      </w:r>
    </w:p>
    <w:p>
      <w:pPr>
        <w:ind w:firstLine="640" w:firstLineChars="200"/>
        <w:rPr>
          <w:rFonts w:ascii="Times New Roman" w:hAnsi="Times New Roman" w:eastAsia="仿宋" w:cs="Times New Roman"/>
          <w:sz w:val="32"/>
          <w:szCs w:val="40"/>
        </w:rPr>
        <w:sectPr>
          <w:footerReference r:id="rId4" w:type="default"/>
          <w:pgSz w:w="11906" w:h="16838"/>
          <w:pgMar w:top="1440" w:right="1080" w:bottom="1440" w:left="1080" w:header="851" w:footer="992" w:gutter="0"/>
          <w:pgNumType w:start="1"/>
          <w:cols w:space="425" w:num="1"/>
          <w:docGrid w:type="lines" w:linePitch="312" w:charSpace="0"/>
        </w:sectPr>
      </w:pPr>
    </w:p>
    <w:p>
      <w:pPr>
        <w:ind w:firstLine="640" w:firstLineChars="200"/>
        <w:outlineLvl w:val="1"/>
        <w:rPr>
          <w:rFonts w:ascii="Times New Roman" w:hAnsi="Times New Roman" w:eastAsia="仿宋" w:cs="Times New Roman"/>
          <w:sz w:val="32"/>
          <w:szCs w:val="40"/>
        </w:rPr>
      </w:pPr>
      <w:bookmarkStart w:id="21" w:name="_Toc1514"/>
      <w:bookmarkStart w:id="22" w:name="_Toc19170"/>
      <w:r>
        <w:rPr>
          <w:rFonts w:ascii="Times New Roman" w:hAnsi="Times New Roman" w:eastAsia="仿宋" w:cs="Times New Roman"/>
          <w:sz w:val="32"/>
          <w:szCs w:val="40"/>
        </w:rPr>
        <w:t>3、原整合优化方案自然保护地分布示意图</w:t>
      </w:r>
      <w:bookmarkEnd w:id="21"/>
      <w:bookmarkEnd w:id="22"/>
    </w:p>
    <w:p>
      <w:pPr>
        <w:jc w:val="center"/>
        <w:rPr>
          <w:rFonts w:ascii="Times New Roman" w:hAnsi="Times New Roman" w:eastAsia="仿宋" w:cs="Times New Roman"/>
          <w:sz w:val="32"/>
          <w:szCs w:val="40"/>
        </w:rPr>
      </w:pPr>
      <w:r>
        <w:rPr>
          <w:rFonts w:ascii="Times New Roman" w:hAnsi="Times New Roman" w:eastAsia="仿宋" w:cs="Times New Roman"/>
          <w:sz w:val="32"/>
          <w:szCs w:val="40"/>
        </w:rPr>
        <w:drawing>
          <wp:inline distT="0" distB="0" distL="114300" distR="114300">
            <wp:extent cx="13860145" cy="9799955"/>
            <wp:effectExtent l="0" t="0" r="8255" b="10795"/>
            <wp:docPr id="2" name="图片 2" descr="前"/>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前"/>
                    <pic:cNvPicPr>
                      <a:picLocks noChangeAspect="true"/>
                    </pic:cNvPicPr>
                  </pic:nvPicPr>
                  <pic:blipFill>
                    <a:blip r:embed="rId8" cstate="print"/>
                    <a:stretch>
                      <a:fillRect/>
                    </a:stretch>
                  </pic:blipFill>
                  <pic:spPr>
                    <a:xfrm>
                      <a:off x="0" y="0"/>
                      <a:ext cx="13860145" cy="9799955"/>
                    </a:xfrm>
                    <a:prstGeom prst="rect">
                      <a:avLst/>
                    </a:prstGeom>
                  </pic:spPr>
                </pic:pic>
              </a:graphicData>
            </a:graphic>
          </wp:inline>
        </w:drawing>
      </w:r>
      <w:r>
        <w:rPr>
          <w:rFonts w:ascii="Times New Roman" w:hAnsi="Times New Roman" w:eastAsia="仿宋" w:cs="Times New Roman"/>
          <w:sz w:val="32"/>
          <w:szCs w:val="40"/>
        </w:rPr>
        <w:br w:type="page"/>
      </w:r>
    </w:p>
    <w:p>
      <w:pPr>
        <w:ind w:firstLine="640" w:firstLineChars="200"/>
        <w:outlineLvl w:val="1"/>
        <w:rPr>
          <w:rFonts w:ascii="Times New Roman" w:hAnsi="Times New Roman" w:eastAsia="仿宋" w:cs="Times New Roman"/>
          <w:sz w:val="32"/>
          <w:szCs w:val="40"/>
        </w:rPr>
      </w:pPr>
      <w:bookmarkStart w:id="23" w:name="_Toc16391"/>
      <w:bookmarkStart w:id="24" w:name="_Toc3265"/>
      <w:r>
        <w:rPr>
          <w:rFonts w:ascii="Times New Roman" w:hAnsi="Times New Roman" w:eastAsia="仿宋" w:cs="Times New Roman"/>
          <w:sz w:val="32"/>
          <w:szCs w:val="40"/>
        </w:rPr>
        <w:t>4、进一步</w:t>
      </w:r>
      <w:bookmarkStart w:id="25" w:name="OLE_LINK2"/>
      <w:r>
        <w:rPr>
          <w:rFonts w:ascii="Times New Roman" w:hAnsi="Times New Roman" w:eastAsia="仿宋" w:cs="Times New Roman"/>
          <w:sz w:val="32"/>
          <w:szCs w:val="40"/>
        </w:rPr>
        <w:t>整合优化后</w:t>
      </w:r>
      <w:bookmarkEnd w:id="25"/>
      <w:r>
        <w:rPr>
          <w:rFonts w:ascii="Times New Roman" w:hAnsi="Times New Roman" w:eastAsia="仿宋" w:cs="Times New Roman"/>
          <w:sz w:val="32"/>
          <w:szCs w:val="40"/>
        </w:rPr>
        <w:t>自然保护地分布示意图</w:t>
      </w:r>
      <w:bookmarkEnd w:id="23"/>
      <w:bookmarkEnd w:id="24"/>
    </w:p>
    <w:p>
      <w:pPr>
        <w:ind w:left="1063" w:hanging="1059" w:hangingChars="331"/>
        <w:jc w:val="center"/>
        <w:rPr>
          <w:rFonts w:ascii="Times New Roman" w:hAnsi="Times New Roman" w:eastAsia="仿宋" w:cs="Times New Roman"/>
          <w:b/>
          <w:bCs/>
          <w:sz w:val="32"/>
          <w:szCs w:val="40"/>
        </w:rPr>
      </w:pPr>
      <w:r>
        <w:rPr>
          <w:rFonts w:ascii="Times New Roman" w:hAnsi="Times New Roman" w:eastAsia="仿宋" w:cs="Times New Roman"/>
          <w:b/>
          <w:bCs/>
          <w:sz w:val="32"/>
          <w:szCs w:val="40"/>
        </w:rPr>
        <w:drawing>
          <wp:inline distT="0" distB="0" distL="114300" distR="114300">
            <wp:extent cx="13860145" cy="9799955"/>
            <wp:effectExtent l="0" t="0" r="8255" b="10795"/>
            <wp:docPr id="3" name="图片 3" descr="后"/>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后"/>
                    <pic:cNvPicPr>
                      <a:picLocks noChangeAspect="true"/>
                    </pic:cNvPicPr>
                  </pic:nvPicPr>
                  <pic:blipFill>
                    <a:blip r:embed="rId9" cstate="print"/>
                    <a:stretch>
                      <a:fillRect/>
                    </a:stretch>
                  </pic:blipFill>
                  <pic:spPr>
                    <a:xfrm>
                      <a:off x="0" y="0"/>
                      <a:ext cx="13860145" cy="9799955"/>
                    </a:xfrm>
                    <a:prstGeom prst="rect">
                      <a:avLst/>
                    </a:prstGeom>
                  </pic:spPr>
                </pic:pic>
              </a:graphicData>
            </a:graphic>
          </wp:inline>
        </w:drawing>
      </w:r>
    </w:p>
    <w:p>
      <w:pPr>
        <w:ind w:left="1059" w:hanging="1059" w:hangingChars="331"/>
        <w:outlineLvl w:val="1"/>
        <w:rPr>
          <w:rFonts w:ascii="Times New Roman" w:hAnsi="Times New Roman" w:eastAsia="仿宋" w:cs="Times New Roman"/>
          <w:sz w:val="32"/>
          <w:szCs w:val="40"/>
        </w:rPr>
      </w:pPr>
      <w:bookmarkStart w:id="26" w:name="_Toc7121"/>
      <w:bookmarkStart w:id="27" w:name="_Toc11009"/>
      <w:r>
        <w:rPr>
          <w:rFonts w:ascii="Times New Roman" w:hAnsi="Times New Roman" w:eastAsia="仿宋" w:cs="Times New Roman"/>
          <w:sz w:val="32"/>
          <w:szCs w:val="40"/>
        </w:rPr>
        <w:t>5、进一步整合优化方案示意图（归并、保留、撤销、转换）</w:t>
      </w:r>
      <w:bookmarkEnd w:id="26"/>
      <w:bookmarkEnd w:id="27"/>
    </w:p>
    <w:p>
      <w:pPr>
        <w:ind w:left="1059" w:hanging="1059" w:hangingChars="331"/>
        <w:rPr>
          <w:rFonts w:ascii="Times New Roman" w:hAnsi="Times New Roman" w:eastAsia="仿宋" w:cs="Times New Roman"/>
          <w:sz w:val="32"/>
          <w:szCs w:val="40"/>
        </w:rPr>
      </w:pPr>
      <w:r>
        <w:rPr>
          <w:rFonts w:ascii="Times New Roman" w:hAnsi="Times New Roman" w:eastAsia="仿宋" w:cs="Times New Roman"/>
          <w:sz w:val="32"/>
          <w:szCs w:val="40"/>
        </w:rPr>
        <w:drawing>
          <wp:inline distT="0" distB="0" distL="114300" distR="114300">
            <wp:extent cx="13860145" cy="9799955"/>
            <wp:effectExtent l="0" t="0" r="8255" b="10795"/>
            <wp:docPr id="4" name="图片 4" descr="方案"/>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方案"/>
                    <pic:cNvPicPr>
                      <a:picLocks noChangeAspect="true"/>
                    </pic:cNvPicPr>
                  </pic:nvPicPr>
                  <pic:blipFill>
                    <a:blip r:embed="rId10" cstate="print"/>
                    <a:stretch>
                      <a:fillRect/>
                    </a:stretch>
                  </pic:blipFill>
                  <pic:spPr>
                    <a:xfrm>
                      <a:off x="0" y="0"/>
                      <a:ext cx="13860145" cy="9799955"/>
                    </a:xfrm>
                    <a:prstGeom prst="rect">
                      <a:avLst/>
                    </a:prstGeom>
                  </pic:spPr>
                </pic:pic>
              </a:graphicData>
            </a:graphic>
          </wp:inline>
        </w:drawing>
      </w:r>
      <w:r>
        <w:rPr>
          <w:rFonts w:ascii="Times New Roman" w:hAnsi="Times New Roman" w:eastAsia="仿宋" w:cs="Times New Roman"/>
          <w:sz w:val="32"/>
          <w:szCs w:val="40"/>
        </w:rPr>
        <w:br w:type="page"/>
      </w:r>
    </w:p>
    <w:p>
      <w:pPr>
        <w:rPr>
          <w:rFonts w:ascii="Times New Roman" w:hAnsi="Times New Roman" w:eastAsia="仿宋" w:cs="Times New Roman"/>
          <w:sz w:val="32"/>
          <w:szCs w:val="40"/>
        </w:rPr>
        <w:sectPr>
          <w:headerReference r:id="rId5" w:type="default"/>
          <w:footerReference r:id="rId6" w:type="default"/>
          <w:pgSz w:w="23811" w:h="16838" w:orient="landscape"/>
          <w:pgMar w:top="283" w:right="720" w:bottom="0" w:left="720" w:header="0" w:footer="0" w:gutter="0"/>
          <w:cols w:space="425" w:num="1"/>
          <w:docGrid w:type="lines" w:linePitch="312" w:charSpace="0"/>
        </w:sectPr>
      </w:pPr>
    </w:p>
    <w:p>
      <w:pPr>
        <w:jc w:val="center"/>
        <w:rPr>
          <w:rFonts w:ascii="Times New Roman" w:hAnsi="Times New Roman" w:eastAsia="仿宋" w:cs="Times New Roman"/>
          <w:sz w:val="32"/>
          <w:szCs w:val="40"/>
        </w:rPr>
      </w:pPr>
    </w:p>
    <w:sectPr>
      <w:pgSz w:w="16838" w:h="23811"/>
      <w:pgMar w:top="720" w:right="720" w:bottom="720" w:left="720" w:header="567" w:footer="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
    <w:altName w:val="微软雅黑"/>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A0F3C52" w:usb2="00000016" w:usb3="00000000" w:csb0="0004001F" w:csb1="00000000"/>
  </w:font>
  <w:font w:name="NanumGothic">
    <w:panose1 w:val="020D0604000000000000"/>
    <w:charset w:val="81"/>
    <w:family w:val="auto"/>
    <w:pitch w:val="default"/>
    <w:sig w:usb0="900002A7" w:usb1="29D7FCFB"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left" w:pos="6007"/>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left" w:pos="6007"/>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rPr>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lZjhkMDFhN2VjMTgwMmUyMmI1M2JhMzU4YmNlNWIifQ=="/>
  </w:docVars>
  <w:rsids>
    <w:rsidRoot w:val="2F093755"/>
    <w:rsid w:val="00012ECB"/>
    <w:rsid w:val="0002719B"/>
    <w:rsid w:val="001A6FDA"/>
    <w:rsid w:val="00242FF1"/>
    <w:rsid w:val="002D59B6"/>
    <w:rsid w:val="003015A2"/>
    <w:rsid w:val="0035473E"/>
    <w:rsid w:val="003E2DD7"/>
    <w:rsid w:val="005F4C77"/>
    <w:rsid w:val="00646A06"/>
    <w:rsid w:val="007E1FB1"/>
    <w:rsid w:val="00810567"/>
    <w:rsid w:val="008308D0"/>
    <w:rsid w:val="0085565C"/>
    <w:rsid w:val="008C0AB2"/>
    <w:rsid w:val="008D0383"/>
    <w:rsid w:val="00961131"/>
    <w:rsid w:val="00A021E2"/>
    <w:rsid w:val="00A87592"/>
    <w:rsid w:val="00B265FB"/>
    <w:rsid w:val="00CD0308"/>
    <w:rsid w:val="00F57E64"/>
    <w:rsid w:val="01583DA1"/>
    <w:rsid w:val="017F0AD9"/>
    <w:rsid w:val="01A85F81"/>
    <w:rsid w:val="024E1315"/>
    <w:rsid w:val="046A04D3"/>
    <w:rsid w:val="04825F75"/>
    <w:rsid w:val="07B0770E"/>
    <w:rsid w:val="07DC6755"/>
    <w:rsid w:val="092152EC"/>
    <w:rsid w:val="0A9472D0"/>
    <w:rsid w:val="0AFF1738"/>
    <w:rsid w:val="0C684A5B"/>
    <w:rsid w:val="0DB14170"/>
    <w:rsid w:val="0DF17A53"/>
    <w:rsid w:val="0E5B4239"/>
    <w:rsid w:val="0E771A6B"/>
    <w:rsid w:val="0EBB76A5"/>
    <w:rsid w:val="10354C54"/>
    <w:rsid w:val="10B17ACE"/>
    <w:rsid w:val="136033D8"/>
    <w:rsid w:val="14065A09"/>
    <w:rsid w:val="14AE6140"/>
    <w:rsid w:val="16C82161"/>
    <w:rsid w:val="17963704"/>
    <w:rsid w:val="17F3416D"/>
    <w:rsid w:val="189726CE"/>
    <w:rsid w:val="19F863D7"/>
    <w:rsid w:val="1F80116F"/>
    <w:rsid w:val="20257F17"/>
    <w:rsid w:val="22FC2C1E"/>
    <w:rsid w:val="260C44FB"/>
    <w:rsid w:val="2A8F0F93"/>
    <w:rsid w:val="2ABE3A44"/>
    <w:rsid w:val="2C357772"/>
    <w:rsid w:val="2C7B29FD"/>
    <w:rsid w:val="2C8D796D"/>
    <w:rsid w:val="2C917DC7"/>
    <w:rsid w:val="2CE95DB3"/>
    <w:rsid w:val="2D20275F"/>
    <w:rsid w:val="2E7D7604"/>
    <w:rsid w:val="2ED250C6"/>
    <w:rsid w:val="2F093755"/>
    <w:rsid w:val="316102F6"/>
    <w:rsid w:val="31787B97"/>
    <w:rsid w:val="31B85BE5"/>
    <w:rsid w:val="320B7B25"/>
    <w:rsid w:val="32E3600A"/>
    <w:rsid w:val="337F131A"/>
    <w:rsid w:val="33A14E28"/>
    <w:rsid w:val="33C64B45"/>
    <w:rsid w:val="34706BCC"/>
    <w:rsid w:val="36440179"/>
    <w:rsid w:val="3680074B"/>
    <w:rsid w:val="36D626E4"/>
    <w:rsid w:val="36FC76BD"/>
    <w:rsid w:val="386757DE"/>
    <w:rsid w:val="38F65D26"/>
    <w:rsid w:val="3E601725"/>
    <w:rsid w:val="3F856364"/>
    <w:rsid w:val="3FEBF002"/>
    <w:rsid w:val="416C4071"/>
    <w:rsid w:val="441A52C7"/>
    <w:rsid w:val="45080078"/>
    <w:rsid w:val="46944BBA"/>
    <w:rsid w:val="47CF2B98"/>
    <w:rsid w:val="48E776BE"/>
    <w:rsid w:val="49101067"/>
    <w:rsid w:val="4C9D41C9"/>
    <w:rsid w:val="4CA838A2"/>
    <w:rsid w:val="4D0F7112"/>
    <w:rsid w:val="4D5A5591"/>
    <w:rsid w:val="4E275021"/>
    <w:rsid w:val="4FE5372B"/>
    <w:rsid w:val="50345BEF"/>
    <w:rsid w:val="51236A51"/>
    <w:rsid w:val="51C8534D"/>
    <w:rsid w:val="539F6E1A"/>
    <w:rsid w:val="548A5658"/>
    <w:rsid w:val="58A66336"/>
    <w:rsid w:val="5BBC2C5A"/>
    <w:rsid w:val="5C2247CD"/>
    <w:rsid w:val="5C28555E"/>
    <w:rsid w:val="5C5D7D9D"/>
    <w:rsid w:val="5CB21F80"/>
    <w:rsid w:val="5D4810F0"/>
    <w:rsid w:val="5D6F38AA"/>
    <w:rsid w:val="5D897632"/>
    <w:rsid w:val="5F1020E1"/>
    <w:rsid w:val="5FF37155"/>
    <w:rsid w:val="605C046B"/>
    <w:rsid w:val="60626E3F"/>
    <w:rsid w:val="60740022"/>
    <w:rsid w:val="626450D0"/>
    <w:rsid w:val="6535464F"/>
    <w:rsid w:val="65FD021C"/>
    <w:rsid w:val="67A5151D"/>
    <w:rsid w:val="6AB15449"/>
    <w:rsid w:val="6B006AC4"/>
    <w:rsid w:val="6BF453B7"/>
    <w:rsid w:val="6D8246D8"/>
    <w:rsid w:val="6DEE1DB8"/>
    <w:rsid w:val="6EC37C13"/>
    <w:rsid w:val="6FAB6781"/>
    <w:rsid w:val="6FCB2193"/>
    <w:rsid w:val="71ED1E0E"/>
    <w:rsid w:val="727F77D9"/>
    <w:rsid w:val="74220C76"/>
    <w:rsid w:val="76F35609"/>
    <w:rsid w:val="79F7CCA9"/>
    <w:rsid w:val="7AA73732"/>
    <w:rsid w:val="7C3C321B"/>
    <w:rsid w:val="7CA011D5"/>
    <w:rsid w:val="7D426AD3"/>
    <w:rsid w:val="7D6F6582"/>
    <w:rsid w:val="7EC606F4"/>
    <w:rsid w:val="7F6621F4"/>
    <w:rsid w:val="7FCB6D05"/>
    <w:rsid w:val="B7FF83A6"/>
    <w:rsid w:val="F7AB16C4"/>
    <w:rsid w:val="FC9B006F"/>
    <w:rsid w:val="FD932D46"/>
    <w:rsid w:val="FFABF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annotation text"/>
    <w:basedOn w:val="1"/>
    <w:qFormat/>
    <w:uiPriority w:val="0"/>
    <w:pPr>
      <w:jc w:val="left"/>
    </w:pPr>
  </w:style>
  <w:style w:type="paragraph" w:styleId="4">
    <w:name w:val="Balloon Text"/>
    <w:basedOn w:val="1"/>
    <w:link w:val="22"/>
    <w:qFormat/>
    <w:uiPriority w:val="0"/>
    <w:rPr>
      <w:sz w:val="18"/>
      <w:szCs w:val="18"/>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页眉 Char"/>
    <w:basedOn w:val="12"/>
    <w:link w:val="6"/>
    <w:qFormat/>
    <w:uiPriority w:val="0"/>
    <w:rPr>
      <w:rFonts w:asciiTheme="minorHAnsi" w:hAnsiTheme="minorHAnsi" w:eastAsiaTheme="minorEastAsia" w:cstheme="minorBidi"/>
      <w:kern w:val="2"/>
      <w:sz w:val="18"/>
      <w:szCs w:val="18"/>
    </w:rPr>
  </w:style>
  <w:style w:type="character" w:customStyle="1" w:styleId="14">
    <w:name w:val="页脚 Char"/>
    <w:basedOn w:val="12"/>
    <w:link w:val="5"/>
    <w:qFormat/>
    <w:uiPriority w:val="99"/>
    <w:rPr>
      <w:rFonts w:asciiTheme="minorHAnsi" w:hAnsiTheme="minorHAnsi" w:eastAsiaTheme="minorEastAsia" w:cstheme="minorBidi"/>
      <w:kern w:val="2"/>
      <w:sz w:val="18"/>
      <w:szCs w:val="18"/>
    </w:rPr>
  </w:style>
  <w:style w:type="character" w:customStyle="1" w:styleId="15">
    <w:name w:val="font61"/>
    <w:basedOn w:val="12"/>
    <w:qFormat/>
    <w:uiPriority w:val="0"/>
    <w:rPr>
      <w:rFonts w:hint="default" w:ascii="Times New Roman" w:hAnsi="Times New Roman" w:cs="Times New Roman"/>
      <w:color w:val="000000"/>
      <w:sz w:val="22"/>
      <w:szCs w:val="22"/>
      <w:u w:val="none"/>
    </w:rPr>
  </w:style>
  <w:style w:type="character" w:customStyle="1" w:styleId="16">
    <w:name w:val="font01"/>
    <w:basedOn w:val="12"/>
    <w:qFormat/>
    <w:uiPriority w:val="0"/>
    <w:rPr>
      <w:rFonts w:hint="eastAsia" w:ascii="宋体" w:hAnsi="宋体" w:eastAsia="宋体" w:cs="宋体"/>
      <w:color w:val="000000"/>
      <w:sz w:val="22"/>
      <w:szCs w:val="22"/>
      <w:u w:val="none"/>
    </w:rPr>
  </w:style>
  <w:style w:type="character" w:customStyle="1" w:styleId="17">
    <w:name w:val="font71"/>
    <w:basedOn w:val="12"/>
    <w:qFormat/>
    <w:uiPriority w:val="0"/>
    <w:rPr>
      <w:rFonts w:hint="default" w:ascii="Times New Roman" w:hAnsi="Times New Roman" w:cs="Times New Roman"/>
      <w:b/>
      <w:bCs/>
      <w:color w:val="000000"/>
      <w:sz w:val="21"/>
      <w:szCs w:val="21"/>
      <w:u w:val="none"/>
    </w:rPr>
  </w:style>
  <w:style w:type="character" w:customStyle="1" w:styleId="18">
    <w:name w:val="font11"/>
    <w:basedOn w:val="12"/>
    <w:qFormat/>
    <w:uiPriority w:val="0"/>
    <w:rPr>
      <w:rFonts w:hint="eastAsia" w:ascii="宋体" w:hAnsi="宋体" w:eastAsia="宋体" w:cs="宋体"/>
      <w:b/>
      <w:bCs/>
      <w:color w:val="000000"/>
      <w:sz w:val="21"/>
      <w:szCs w:val="21"/>
      <w:u w:val="none"/>
    </w:rPr>
  </w:style>
  <w:style w:type="character" w:customStyle="1" w:styleId="19">
    <w:name w:val="font21"/>
    <w:basedOn w:val="12"/>
    <w:qFormat/>
    <w:uiPriority w:val="0"/>
    <w:rPr>
      <w:rFonts w:hint="eastAsia" w:ascii="宋体" w:hAnsi="宋体" w:eastAsia="宋体" w:cs="宋体"/>
      <w:b/>
      <w:bCs/>
      <w:color w:val="000000"/>
      <w:sz w:val="24"/>
      <w:szCs w:val="24"/>
      <w:u w:val="none"/>
    </w:rPr>
  </w:style>
  <w:style w:type="character" w:customStyle="1" w:styleId="20">
    <w:name w:val="font31"/>
    <w:basedOn w:val="12"/>
    <w:qFormat/>
    <w:uiPriority w:val="0"/>
    <w:rPr>
      <w:rFonts w:hint="eastAsia" w:ascii="宋体" w:hAnsi="宋体" w:eastAsia="宋体" w:cs="宋体"/>
      <w:color w:val="000000"/>
      <w:sz w:val="24"/>
      <w:szCs w:val="24"/>
      <w:u w:val="none"/>
    </w:rPr>
  </w:style>
  <w:style w:type="character" w:customStyle="1" w:styleId="21">
    <w:name w:val="font41"/>
    <w:basedOn w:val="12"/>
    <w:qFormat/>
    <w:uiPriority w:val="0"/>
    <w:rPr>
      <w:rFonts w:hint="default" w:ascii="Times New Roman" w:hAnsi="Times New Roman" w:cs="Times New Roman"/>
      <w:b/>
      <w:bCs/>
      <w:color w:val="000000"/>
      <w:sz w:val="24"/>
      <w:szCs w:val="24"/>
      <w:u w:val="none"/>
    </w:rPr>
  </w:style>
  <w:style w:type="character" w:customStyle="1" w:styleId="22">
    <w:name w:val="批注框文本 Char"/>
    <w:basedOn w:val="12"/>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SkyUN.Org</Company>
  <Pages>13</Pages>
  <Words>3802</Words>
  <Characters>4184</Characters>
  <Lines>34</Lines>
  <Paragraphs>9</Paragraphs>
  <TotalTime>20</TotalTime>
  <ScaleCrop>false</ScaleCrop>
  <LinksUpToDate>false</LinksUpToDate>
  <CharactersWithSpaces>4219</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2023-03-09T03:36:00Z</dcterms:created>
  <dc:creator>马炜</dc:creator>
  <cp:lastModifiedBy>user1</cp:lastModifiedBy>
  <dcterms:modified xsi:type="dcterms:W3CDTF">2025-06-16T14:52:11Z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D46515AF3EFD40A59380E850E64440DA_13</vt:lpwstr>
  </property>
  <property fmtid="{D5CDD505-2E9C-101B-9397-08002B2CF9AE}" pid="4" name="KSOTemplateDocerSaveRecord">
    <vt:lpwstr>eyJoZGlkIjoiZmMyNTkzZWNiZmQ2MThkMDdlMTY5MDZkZmZkNTNkZDUifQ==</vt:lpwstr>
  </property>
</Properties>
</file>