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rPr>
      </w:pPr>
      <w:r>
        <w:rPr>
          <w:rFonts w:hint="eastAsia" w:ascii="方正小标宋简体" w:hAnsi="方正小标宋简体" w:eastAsia="方正小标宋简体"/>
          <w:sz w:val="44"/>
        </w:rPr>
        <w:t>办事指南</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t>事项名称：单位自建供水管道连接城市公共供水管道申请办事指南</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rPr>
        <w:t>事项所属单位（盖章）：</w:t>
      </w: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一、事项编码</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11445302594043605U4442114070000</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二、适用范围</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企业法人,事业法人,社会组织法人</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三、事项类型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eastAsia="zh-CN"/>
        </w:rPr>
      </w:pPr>
      <w:r>
        <w:rPr>
          <w:rFonts w:hint="eastAsia" w:ascii="仿宋_GB2312" w:hAnsi="仿宋_GB2312"/>
          <w:lang w:eastAsia="zh-CN"/>
        </w:rPr>
        <w:t>公共服务</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四、设立依据</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fldChar w:fldCharType="begin"/>
      </w:r>
      <w:r>
        <w:rPr>
          <w:rFonts w:hint="eastAsia" w:ascii="仿宋_GB2312" w:hAnsi="仿宋_GB2312"/>
          <w:lang w:val="en-US" w:eastAsia="zh-CN"/>
        </w:rPr>
        <w:instrText xml:space="preserve"> HYPERLINK "http://www.gd.gov.cn/zwgk/wjk/zcfgk/content/post_2531718.html" \t "https://www.gdzwfw.gov.cn/portal/v2/guide/_blank" </w:instrText>
      </w:r>
      <w:r>
        <w:rPr>
          <w:rFonts w:hint="eastAsia" w:ascii="仿宋_GB2312" w:hAnsi="仿宋_GB2312"/>
          <w:lang w:val="en-US" w:eastAsia="zh-CN"/>
        </w:rPr>
        <w:fldChar w:fldCharType="separate"/>
      </w:r>
      <w:r>
        <w:rPr>
          <w:rFonts w:hint="eastAsia" w:ascii="仿宋_GB2312" w:hAnsi="仿宋_GB2312"/>
          <w:lang w:val="en-US" w:eastAsia="zh-CN"/>
        </w:rPr>
        <w:t>《城市供水条例》</w:t>
      </w:r>
      <w:r>
        <w:rPr>
          <w:rFonts w:hint="eastAsia" w:ascii="仿宋_GB2312" w:hAnsi="仿宋_GB2312"/>
          <w:lang w:val="en-US" w:eastAsia="zh-CN"/>
        </w:rPr>
        <w:fldChar w:fldCharType="end"/>
      </w:r>
      <w:r>
        <w:rPr>
          <w:rFonts w:hint="eastAsia" w:ascii="仿宋_GB2312" w:hAnsi="仿宋_GB2312"/>
          <w:lang w:val="en-US" w:eastAsia="zh-CN"/>
        </w:rPr>
        <w:t xml:space="preserve">（1994年国务院令第158号）第二十八条、第三十二条                                                                                                                      </w:t>
      </w:r>
    </w:p>
    <w:p>
      <w:pPr>
        <w:keepNext w:val="0"/>
        <w:keepLines w:val="0"/>
        <w:pageBreakBefore w:val="0"/>
        <w:kinsoku/>
        <w:wordWrap/>
        <w:overflowPunct/>
        <w:topLinePunct w:val="0"/>
        <w:autoSpaceDE/>
        <w:autoSpaceDN/>
        <w:bidi w:val="0"/>
        <w:adjustRightInd/>
        <w:snapToGrid/>
        <w:spacing w:line="420" w:lineRule="exact"/>
        <w:ind w:left="640" w:leftChars="200" w:firstLine="0" w:firstLineChars="0"/>
        <w:rPr>
          <w:rFonts w:hint="eastAsia" w:ascii="仿宋_GB2312" w:hAnsi="仿宋_GB2312"/>
        </w:rPr>
      </w:pPr>
      <w:r>
        <w:rPr>
          <w:rFonts w:hint="eastAsia" w:ascii="仿宋_GB2312" w:hAnsi="仿宋_GB2312"/>
        </w:rPr>
        <w:t>五、受理机构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六、决定机构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七、办理条件</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单位自建供水管道连接城市公共管道申请</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八、申办材料</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申请人把下列申请材料（文件、物品）送交办理窗口：</w:t>
      </w:r>
    </w:p>
    <w:tbl>
      <w:tblPr>
        <w:tblStyle w:val="4"/>
        <w:tblW w:w="8623" w:type="dxa"/>
        <w:tblInd w:w="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464"/>
        <w:gridCol w:w="3379"/>
        <w:gridCol w:w="1920"/>
        <w:gridCol w:w="1350"/>
        <w:gridCol w:w="1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0"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序号</w:t>
            </w:r>
          </w:p>
        </w:tc>
        <w:tc>
          <w:tcPr>
            <w:tcW w:w="337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材料名称</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材料形式</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cs="仿宋_GB2312"/>
                <w:b/>
                <w:bCs/>
                <w:sz w:val="24"/>
                <w:szCs w:val="24"/>
                <w:highlight w:val="none"/>
                <w:lang w:val="en-US" w:eastAsia="zh-CN"/>
              </w:rPr>
              <w:t>材料要求</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sz w:val="24"/>
                <w:szCs w:val="24"/>
                <w:highlight w:val="none"/>
                <w:lang w:val="en-US" w:eastAsia="zh-CN"/>
              </w:rPr>
              <w:t>填报须知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单位自建供水管道连接城市公共供水管道申请书</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原件：1式2份</w:t>
            </w:r>
          </w:p>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纸质版/电子版</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需要加盖申请单位印章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身份证复印件或组织机构代码复印件</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纸质</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cs="仿宋_GB2312"/>
                <w:b w:val="0"/>
                <w:bCs w:val="0"/>
                <w:color w:val="000000" w:themeColor="text1"/>
                <w:sz w:val="21"/>
                <w:szCs w:val="21"/>
                <w:highlight w:val="none"/>
                <w:lang w:val="en-US" w:eastAsia="zh-CN"/>
                <w14:textFill>
                  <w14:solidFill>
                    <w14:schemeClr w14:val="tx1"/>
                  </w14:solidFill>
                </w14:textFill>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FF000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填写对应材料审查要点。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9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3</w:t>
            </w:r>
          </w:p>
        </w:tc>
        <w:tc>
          <w:tcPr>
            <w:tcW w:w="3379"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cs="仿宋_GB2312"/>
                <w:b w:val="0"/>
                <w:bCs w:val="0"/>
                <w:sz w:val="21"/>
                <w:szCs w:val="21"/>
                <w:highlight w:val="none"/>
                <w:lang w:val="en-US" w:eastAsia="zh-CN"/>
              </w:rPr>
              <w:t>居民</w:t>
            </w:r>
            <w:r>
              <w:rPr>
                <w:rFonts w:hint="eastAsia" w:ascii="仿宋_GB2312" w:hAnsi="仿宋_GB2312" w:eastAsia="仿宋_GB2312" w:cs="仿宋_GB2312"/>
                <w:b w:val="0"/>
                <w:bCs w:val="0"/>
                <w:sz w:val="21"/>
                <w:szCs w:val="21"/>
                <w:highlight w:val="none"/>
                <w:lang w:val="en-US" w:eastAsia="zh-CN"/>
              </w:rPr>
              <w:t>身份证</w:t>
            </w:r>
          </w:p>
        </w:tc>
        <w:tc>
          <w:tcPr>
            <w:tcW w:w="192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纸质</w:t>
            </w:r>
          </w:p>
        </w:tc>
        <w:tc>
          <w:tcPr>
            <w:tcW w:w="135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必要</w:t>
            </w:r>
          </w:p>
        </w:tc>
        <w:tc>
          <w:tcPr>
            <w:tcW w:w="151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填写对应材料审查要点。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10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申请函</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原件：1</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填写对应材料审查要点。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组织机构代码、营业执照（A类有限责任公司）复印件</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复印件：1</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纸质/电子化</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需要加盖申请单位印章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6</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法人身份证</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复印件：1</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纸质/电子化</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需要加盖申请单位印章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7</w:t>
            </w:r>
          </w:p>
        </w:tc>
        <w:tc>
          <w:tcPr>
            <w:tcW w:w="337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授权委托书和被委托人的有效身份证复印件</w:t>
            </w:r>
          </w:p>
        </w:tc>
        <w:tc>
          <w:tcPr>
            <w:tcW w:w="192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复印件：1份</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w:t>
            </w:r>
          </w:p>
        </w:tc>
        <w:tc>
          <w:tcPr>
            <w:tcW w:w="135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非必要</w:t>
            </w:r>
          </w:p>
        </w:tc>
        <w:tc>
          <w:tcPr>
            <w:tcW w:w="151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委托办理时需提交，委托书提交原件，并附被委托人身份证复印件，加盖公章。</w:t>
            </w:r>
          </w:p>
        </w:tc>
      </w:tr>
    </w:tbl>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九、办理方式</w:t>
      </w:r>
    </w:p>
    <w:p>
      <w:pPr>
        <w:keepNext w:val="0"/>
        <w:keepLines w:val="0"/>
        <w:pageBreakBefore w:val="0"/>
        <w:kinsoku/>
        <w:wordWrap/>
        <w:overflowPunct/>
        <w:topLinePunct w:val="0"/>
        <w:autoSpaceDE/>
        <w:autoSpaceDN/>
        <w:bidi w:val="0"/>
        <w:adjustRightInd/>
        <w:snapToGrid/>
        <w:spacing w:line="420" w:lineRule="exact"/>
        <w:rPr>
          <w:rFonts w:hint="eastAsia" w:ascii="仿宋_GB2312" w:hAnsi="仿宋_GB2312"/>
        </w:rPr>
      </w:pPr>
      <w:r>
        <w:rPr>
          <w:rFonts w:hint="eastAsia" w:ascii="仿宋_GB2312" w:hAnsi="仿宋_GB2312"/>
        </w:rPr>
        <w:t xml:space="preserve">    网上预审后窗口办理：登录广东政务服务网在线申报，经网上预审通过后，将纸质材料送到云浮市人民政府行政服务中心大厅一楼综合窗口提交申请。</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十、办理流程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 流程图</w:t>
      </w:r>
    </w:p>
    <w:p>
      <w:pPr>
        <w:rPr>
          <w:rFonts w:hint="eastAsia" w:ascii="仿宋_GB2312" w:hAnsi="仿宋_GB2312" w:eastAsia="仿宋_GB2312"/>
          <w:lang w:eastAsia="zh-CN"/>
        </w:rPr>
      </w:pPr>
      <w:r>
        <w:rPr>
          <w:rFonts w:hint="eastAsia" w:ascii="仿宋_GB2312" w:hAnsi="仿宋_GB2312" w:eastAsia="仿宋_GB2312"/>
          <w:lang w:eastAsia="zh-CN"/>
        </w:rPr>
        <w:drawing>
          <wp:inline distT="0" distB="0" distL="114300" distR="114300">
            <wp:extent cx="5268595" cy="6284595"/>
            <wp:effectExtent l="0" t="0" r="8255" b="1905"/>
            <wp:docPr id="1" name="图片 1" descr="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true"/>
                    </pic:cNvPicPr>
                  </pic:nvPicPr>
                  <pic:blipFill>
                    <a:blip r:embed="rId4"/>
                    <a:stretch>
                      <a:fillRect/>
                    </a:stretch>
                  </pic:blipFill>
                  <pic:spPr>
                    <a:xfrm>
                      <a:off x="0" y="0"/>
                      <a:ext cx="5268595" cy="62845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 办理程序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1.受理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受理窗口对申请材料进行审查，符合受理条件或通过当场补正达到受理条件的，当场出具</w:t>
      </w:r>
      <w:r>
        <w:rPr>
          <w:rFonts w:ascii="仿宋_GB2312" w:hAnsi="仿宋_GB2312"/>
        </w:rPr>
        <w:t>受理凭证</w:t>
      </w:r>
      <w:r>
        <w:rPr>
          <w:rFonts w:hint="eastAsia" w:ascii="仿宋_GB2312" w:hAnsi="仿宋_GB2312"/>
        </w:rPr>
        <w:t>；材料不全或不符合法定形式的，当场或两个工作日内一次性告知申请人需补正的全部材料；不符合受理条件的，当场出具不予受理</w:t>
      </w:r>
      <w:r>
        <w:rPr>
          <w:rFonts w:ascii="仿宋_GB2312" w:hAnsi="仿宋_GB2312"/>
        </w:rPr>
        <w:t>凭证或一次性告知凭证</w:t>
      </w:r>
      <w:r>
        <w:rPr>
          <w:rFonts w:hint="eastAsia" w:ascii="仿宋_GB2312" w:hAnsi="仿宋_GB2312"/>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2. 审查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审查机关对材料审查，提出初步意见，转入决定程序。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3. 决定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准予</w:t>
      </w:r>
      <w:r>
        <w:rPr>
          <w:rFonts w:hint="eastAsia" w:ascii="仿宋_GB2312" w:hAnsi="仿宋_GB2312"/>
          <w:lang w:val="en-US" w:eastAsia="zh-CN"/>
        </w:rPr>
        <w:t>许可</w:t>
      </w:r>
      <w:r>
        <w:rPr>
          <w:rFonts w:hint="eastAsia" w:ascii="仿宋_GB2312" w:hAnsi="仿宋_GB2312"/>
        </w:rPr>
        <w:t>的，公开</w:t>
      </w:r>
      <w:r>
        <w:rPr>
          <w:rFonts w:hint="eastAsia" w:ascii="仿宋_GB2312" w:hAnsi="仿宋_GB2312"/>
          <w:lang w:val="en-US" w:eastAsia="zh-CN"/>
        </w:rPr>
        <w:t>许可</w:t>
      </w:r>
      <w:r>
        <w:rPr>
          <w:rFonts w:hint="eastAsia" w:ascii="仿宋_GB2312" w:hAnsi="仿宋_GB2312"/>
        </w:rPr>
        <w:t>信息；不予</w:t>
      </w:r>
      <w:r>
        <w:rPr>
          <w:rFonts w:hint="eastAsia" w:ascii="仿宋_GB2312" w:hAnsi="仿宋_GB2312"/>
          <w:lang w:val="en-US" w:eastAsia="zh-CN"/>
        </w:rPr>
        <w:t>许可</w:t>
      </w:r>
      <w:r>
        <w:rPr>
          <w:rFonts w:hint="eastAsia" w:ascii="仿宋_GB2312" w:hAnsi="仿宋_GB2312"/>
        </w:rPr>
        <w:t>的，出具《不予</w:t>
      </w:r>
      <w:r>
        <w:rPr>
          <w:rFonts w:hint="eastAsia" w:ascii="仿宋_GB2312" w:hAnsi="仿宋_GB2312"/>
          <w:lang w:val="en-US" w:eastAsia="zh-CN"/>
        </w:rPr>
        <w:t>许可决定</w:t>
      </w:r>
      <w:r>
        <w:rPr>
          <w:rFonts w:hint="eastAsia" w:ascii="仿宋_GB2312" w:hAnsi="仿宋_GB2312"/>
        </w:rPr>
        <w:t>书》并说明理由。</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十一、办理时限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（一）法定办理时限：自受理之日起 </w:t>
      </w:r>
      <w:r>
        <w:rPr>
          <w:rFonts w:hint="eastAsia" w:ascii="仿宋_GB2312" w:hAnsi="仿宋_GB2312"/>
          <w:lang w:val="en-US" w:eastAsia="zh-CN"/>
        </w:rPr>
        <w:t>10</w:t>
      </w:r>
      <w:r>
        <w:rPr>
          <w:rFonts w:hint="eastAsia" w:ascii="仿宋_GB2312" w:hAnsi="仿宋_GB2312"/>
        </w:rPr>
        <w:t>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（二）承诺办理时限：自受理之日起 1 个工作日。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十二、收费依据及标准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lang w:eastAsia="zh-CN"/>
        </w:rPr>
      </w:pPr>
      <w:r>
        <w:rPr>
          <w:rFonts w:hint="eastAsia" w:ascii="仿宋_GB2312" w:hAnsi="仿宋_GB2312"/>
        </w:rPr>
        <w:t xml:space="preserve">    （一）收费项目：</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rPr>
      </w:pPr>
      <w:r>
        <w:rPr>
          <w:rFonts w:hint="eastAsia" w:ascii="仿宋_GB2312" w:hAnsi="仿宋_GB2312"/>
          <w:color w:val="auto"/>
        </w:rPr>
        <w:t>（二）收费依据：</w:t>
      </w:r>
      <w:r>
        <w:rPr>
          <w:rFonts w:hint="eastAsia" w:ascii="仿宋_GB2312" w:hAnsi="仿宋_GB2312"/>
          <w:color w:val="auto"/>
          <w:lang w:val="en-US" w:eastAsia="zh-CN"/>
        </w:rPr>
        <w:t>无</w:t>
      </w:r>
      <w:r>
        <w:rPr>
          <w:rFonts w:hint="eastAsia" w:ascii="仿宋_GB2312" w:hAnsi="仿宋_GB231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lang w:val="en-US" w:eastAsia="zh-CN"/>
        </w:rPr>
      </w:pPr>
      <w:r>
        <w:rPr>
          <w:rFonts w:hint="eastAsia" w:ascii="仿宋_GB2312" w:hAnsi="仿宋_GB2312"/>
        </w:rPr>
        <w:t>（三）收费标准：</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十三、结果送达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窗口领取或邮件方式送达。</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十四、行政救济途径与方式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（一）行政复议</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部门：</w:t>
      </w:r>
      <w:r>
        <w:rPr>
          <w:rFonts w:hint="eastAsia" w:ascii="仿宋_GB2312" w:hAnsi="仿宋_GB2312"/>
          <w:lang w:val="en-US" w:eastAsia="zh-CN"/>
        </w:rPr>
        <w:t>云浮市云城区人民政府（设在司法局）</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rPr>
      </w:pPr>
      <w:r>
        <w:rPr>
          <w:rFonts w:hint="eastAsia" w:ascii="仿宋_GB2312" w:hAnsi="仿宋_GB2312"/>
        </w:rPr>
        <w:t>地址：</w:t>
      </w:r>
      <w:r>
        <w:rPr>
          <w:rFonts w:hint="eastAsia" w:ascii="仿宋_GB2312" w:hAnsi="仿宋_GB2312"/>
          <w:lang w:val="en-US" w:eastAsia="zh-CN"/>
        </w:rPr>
        <w:t>云浮市云城区云城街道乐谊路61号</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电话：</w:t>
      </w:r>
      <w:r>
        <w:rPr>
          <w:rFonts w:hint="eastAsia" w:ascii="仿宋_GB2312" w:hAnsi="仿宋_GB2312"/>
          <w:lang w:val="en-US" w:eastAsia="zh-CN"/>
        </w:rPr>
        <w:t>0766-8822238</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（二）行政诉讼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部门：</w:t>
      </w:r>
      <w:r>
        <w:rPr>
          <w:rFonts w:hint="eastAsia" w:ascii="仿宋_GB2312" w:hAnsi="仿宋_GB2312"/>
          <w:lang w:val="en-US" w:eastAsia="zh-CN"/>
        </w:rPr>
        <w:t>广东省云浮市云城区人民法院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地址：</w:t>
      </w:r>
      <w:r>
        <w:rPr>
          <w:rFonts w:hint="eastAsia" w:ascii="仿宋_GB2312" w:hAnsi="仿宋_GB2312"/>
          <w:lang w:val="en-US" w:eastAsia="zh-CN"/>
        </w:rPr>
        <w:t>广东省云浮市区天平路８号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电话：</w:t>
      </w:r>
      <w:r>
        <w:rPr>
          <w:rFonts w:hint="eastAsia" w:ascii="仿宋_GB2312" w:hAnsi="仿宋_GB2312"/>
          <w:lang w:val="en-US" w:eastAsia="zh-CN"/>
        </w:rPr>
        <w:t>0766-8983989</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十五、咨询方式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（一）现场咨询：云浮市云城区城中路111号云浮市人民政府行政服务中心一楼综合窗口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rPr>
        <w:t>（二）电话咨询：0766-</w:t>
      </w:r>
      <w:r>
        <w:rPr>
          <w:rFonts w:hint="eastAsia" w:ascii="仿宋_GB2312" w:hAnsi="仿宋_GB2312"/>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lang w:val="en-US" w:eastAsia="zh-CN"/>
        </w:rPr>
      </w:pPr>
      <w:r>
        <w:rPr>
          <w:rFonts w:hint="eastAsia" w:ascii="仿宋_GB2312" w:hAnsi="仿宋_GB2312"/>
          <w:lang w:val="en-US" w:eastAsia="zh-CN"/>
        </w:rPr>
        <w:t>（三）网上咨询：</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十六、监督投诉渠道</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（一）现场监督投诉：云浮市人民政府行政服务中心协调科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lang w:val="en-US" w:eastAsia="zh-CN"/>
        </w:rPr>
      </w:pPr>
      <w:r>
        <w:rPr>
          <w:rFonts w:hint="eastAsia" w:ascii="仿宋_GB2312" w:hAnsi="仿宋_GB2312"/>
        </w:rPr>
        <w:t xml:space="preserve">    （二）电话监督投诉：0766-</w:t>
      </w:r>
      <w:r>
        <w:rPr>
          <w:rFonts w:hint="eastAsia" w:ascii="仿宋_GB2312" w:hAnsi="仿宋_GB2312"/>
          <w:lang w:val="en-US" w:eastAsia="zh-CN"/>
        </w:rPr>
        <w:t>8836236</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t>（三）网上监督投诉：</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640" w:leftChars="0" w:firstLine="0" w:firstLineChars="0"/>
        <w:textAlignment w:val="auto"/>
        <w:rPr>
          <w:rFonts w:hint="eastAsia" w:ascii="仿宋_GB2312" w:hAnsi="仿宋_GB2312"/>
        </w:rPr>
      </w:pPr>
      <w:r>
        <w:rPr>
          <w:rFonts w:hint="eastAsia" w:ascii="仿宋_GB2312" w:hAnsi="仿宋_GB2312"/>
        </w:rPr>
        <w:t>办理地址和时间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default" w:ascii="仿宋_GB2312" w:hAnsi="仿宋_GB2312"/>
          <w:lang w:val="en-US" w:eastAsia="zh-CN"/>
        </w:rPr>
        <w:t>市行政服务中心</w:t>
      </w:r>
      <w:r>
        <w:rPr>
          <w:rFonts w:hint="eastAsia" w:ascii="仿宋_GB2312" w:hAnsi="仿宋_GB2312"/>
          <w:lang w:val="en-US" w:eastAsia="zh-CN"/>
        </w:rPr>
        <w:t>一</w:t>
      </w:r>
      <w:r>
        <w:rPr>
          <w:rFonts w:hint="default" w:ascii="仿宋_GB2312" w:hAnsi="仿宋_GB2312"/>
          <w:lang w:val="en-US" w:eastAsia="zh-CN"/>
        </w:rPr>
        <w:t>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lang w:val="en-US" w:eastAsia="zh-CN"/>
        </w:rPr>
        <w:t>办理</w:t>
      </w:r>
      <w:r>
        <w:rPr>
          <w:rFonts w:hint="eastAsia" w:ascii="仿宋_GB2312" w:hAnsi="仿宋_GB2312"/>
          <w:lang w:val="en-US" w:eastAsia="zh-CN"/>
        </w:rPr>
        <w:t>地</w:t>
      </w:r>
      <w:r>
        <w:rPr>
          <w:rFonts w:hint="eastAsia" w:ascii="仿宋_GB2312" w:hAnsi="仿宋_GB2312"/>
          <w:color w:val="auto"/>
          <w:lang w:val="en-US" w:eastAsia="zh-CN"/>
        </w:rPr>
        <w:t>址</w:t>
      </w:r>
      <w:r>
        <w:rPr>
          <w:rFonts w:hint="default" w:ascii="仿宋_GB2312" w:hAnsi="仿宋_GB2312"/>
          <w:color w:val="auto"/>
          <w:lang w:val="en-US" w:eastAsia="zh-CN"/>
        </w:rPr>
        <w:t>：云浮市云城区城中路111号云浮市行政服务中心一楼1-15号综合受理窗口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default" w:ascii="仿宋_GB2312" w:hAnsi="仿宋_GB2312"/>
          <w:color w:val="auto"/>
          <w:lang w:val="en-US" w:eastAsia="zh-CN"/>
        </w:rPr>
        <w:t>电话：0766-</w:t>
      </w:r>
      <w:r>
        <w:rPr>
          <w:rFonts w:hint="eastAsia" w:ascii="仿宋_GB2312" w:hAnsi="仿宋_GB2312"/>
          <w:color w:val="auto"/>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color w:val="auto"/>
          <w:lang w:val="en-US" w:eastAsia="zh-CN"/>
        </w:rPr>
        <w:t>时间：</w:t>
      </w:r>
      <w:r>
        <w:rPr>
          <w:rFonts w:hint="eastAsia" w:ascii="仿宋_GB2312" w:hAnsi="仿宋_GB2312"/>
          <w:color w:val="auto"/>
          <w:lang w:val="en-US" w:eastAsia="zh-CN"/>
        </w:rPr>
        <w:t>星期一至星期五</w:t>
      </w:r>
      <w:r>
        <w:rPr>
          <w:rFonts w:hint="default" w:ascii="仿宋_GB2312" w:hAnsi="仿宋_GB2312"/>
          <w:color w:val="auto"/>
          <w:lang w:val="en-US" w:eastAsia="zh-CN"/>
        </w:rPr>
        <w:t>上午8:00-11:30,下午</w:t>
      </w:r>
      <w:r>
        <w:rPr>
          <w:rFonts w:hint="eastAsia" w:ascii="仿宋_GB2312" w:hAnsi="仿宋_GB2312"/>
          <w:color w:val="auto"/>
          <w:lang w:val="en-US" w:eastAsia="zh-CN"/>
        </w:rPr>
        <w:t>2</w:t>
      </w:r>
      <w:r>
        <w:rPr>
          <w:rFonts w:hint="default" w:ascii="仿宋_GB2312" w:hAnsi="仿宋_GB2312"/>
          <w:color w:val="auto"/>
          <w:lang w:val="en-US" w:eastAsia="zh-CN"/>
        </w:rPr>
        <w:t>:30-</w:t>
      </w:r>
      <w:r>
        <w:rPr>
          <w:rFonts w:hint="eastAsia" w:ascii="仿宋_GB2312" w:hAnsi="仿宋_GB2312"/>
          <w:color w:val="auto"/>
          <w:lang w:val="en-US" w:eastAsia="zh-CN"/>
        </w:rPr>
        <w:t>5</w:t>
      </w:r>
      <w:bookmarkStart w:id="0" w:name="_GoBack"/>
      <w:bookmarkEnd w:id="0"/>
      <w:r>
        <w:rPr>
          <w:rFonts w:hint="default" w:ascii="仿宋_GB2312" w:hAnsi="仿宋_GB2312"/>
          <w:color w:val="auto"/>
          <w:lang w:val="en-US" w:eastAsia="zh-CN"/>
        </w:rPr>
        <w:t>:30（法定节假日除外）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eastAsia" w:ascii="仿宋_GB2312" w:hAnsi="仿宋_GB2312"/>
          <w:color w:val="auto"/>
          <w:lang w:val="en-US" w:eastAsia="zh-CN"/>
        </w:rPr>
        <w:t>位置指引：乘坐3路公共汽车至英东体育馆站下车步行60米到达目的地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十八、办理进程和结果查询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 办理进程查询方式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1.现场查询：云浮市云城区城中路111号云浮市人民政府行政服务中心一楼综合窗口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_GB2312" w:hAnsi="仿宋_GB2312" w:eastAsia="仿宋_GB2312"/>
          <w:lang w:val="en-US" w:eastAsia="zh-CN"/>
        </w:rPr>
      </w:pPr>
      <w:r>
        <w:rPr>
          <w:rFonts w:hint="eastAsia" w:ascii="仿宋_GB2312" w:hAnsi="仿宋_GB2312"/>
        </w:rPr>
        <w:t xml:space="preserve">    2.</w:t>
      </w:r>
      <w:r>
        <w:rPr>
          <w:rFonts w:hint="eastAsia" w:ascii="仿宋_GB2312" w:hAnsi="仿宋_GB2312"/>
          <w:color w:val="auto"/>
        </w:rPr>
        <w:t>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rPr>
      </w:pPr>
      <w:r>
        <w:rPr>
          <w:rFonts w:hint="eastAsia" w:ascii="仿宋_GB2312" w:hAnsi="仿宋_GB2312"/>
        </w:rPr>
        <w:t xml:space="preserve">    （二）结果公开查询方式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color w:val="FF0000"/>
        </w:rPr>
      </w:pPr>
      <w:r>
        <w:rPr>
          <w:rFonts w:hint="eastAsia" w:ascii="仿宋_GB2312" w:hAnsi="仿宋_GB2312"/>
        </w:rPr>
        <w:t xml:space="preserve">    </w:t>
      </w:r>
      <w:r>
        <w:rPr>
          <w:rFonts w:hint="eastAsia" w:ascii="仿宋_GB2312" w:hAnsi="仿宋_GB2312"/>
          <w:color w:val="auto"/>
        </w:rPr>
        <w:t>1.电话查询：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t>2.网上查询：</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fldChar w:fldCharType="begin"/>
      </w:r>
      <w:r>
        <w:rPr>
          <w:rFonts w:hint="eastAsia" w:ascii="仿宋_GB2312" w:hAnsi="仿宋_GB2312"/>
          <w:color w:val="auto"/>
        </w:rPr>
        <w:instrText xml:space="preserve"> HYPERLINK "http://www.gdzwfw.gov.cn/portal/branch-hall?orgCode=594043605" </w:instrText>
      </w:r>
      <w:r>
        <w:rPr>
          <w:rFonts w:hint="eastAsia" w:ascii="仿宋_GB2312" w:hAnsi="仿宋_GB2312"/>
          <w:color w:val="auto"/>
        </w:rPr>
        <w:fldChar w:fldCharType="separate"/>
      </w:r>
      <w:r>
        <w:rPr>
          <w:rStyle w:val="7"/>
          <w:rFonts w:hint="eastAsia" w:ascii="仿宋_GB2312" w:hAnsi="仿宋_GB2312"/>
        </w:rPr>
        <w:t>http://www.gdzwfw.gov.cn/portal/branch-hall?orgCode=594043605</w:t>
      </w:r>
      <w:r>
        <w:rPr>
          <w:rFonts w:hint="eastAsia" w:ascii="仿宋_GB2312" w:hAnsi="仿宋_GB2312"/>
          <w:color w:val="auto"/>
        </w:rPr>
        <w:fldChar w:fldCharType="end"/>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7806C"/>
    <w:multiLevelType w:val="singleLevel"/>
    <w:tmpl w:val="2307806C"/>
    <w:lvl w:ilvl="0" w:tentative="0">
      <w:start w:val="17"/>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00772"/>
    <w:rsid w:val="02026E49"/>
    <w:rsid w:val="05110C76"/>
    <w:rsid w:val="088743C3"/>
    <w:rsid w:val="11DA3B91"/>
    <w:rsid w:val="15100772"/>
    <w:rsid w:val="23450E3C"/>
    <w:rsid w:val="25FB2F4B"/>
    <w:rsid w:val="2B7BECA6"/>
    <w:rsid w:val="2C332538"/>
    <w:rsid w:val="2D7C3711"/>
    <w:rsid w:val="340A6FC4"/>
    <w:rsid w:val="3BEA2238"/>
    <w:rsid w:val="3CD72866"/>
    <w:rsid w:val="3E16574F"/>
    <w:rsid w:val="4369463A"/>
    <w:rsid w:val="4399646F"/>
    <w:rsid w:val="43E04895"/>
    <w:rsid w:val="4E9B30C0"/>
    <w:rsid w:val="539D6365"/>
    <w:rsid w:val="55DE558B"/>
    <w:rsid w:val="5E2D3F4B"/>
    <w:rsid w:val="5FFD0608"/>
    <w:rsid w:val="62072484"/>
    <w:rsid w:val="63E11870"/>
    <w:rsid w:val="64B929B3"/>
    <w:rsid w:val="6ACC544A"/>
    <w:rsid w:val="7321798B"/>
    <w:rsid w:val="74F757CA"/>
    <w:rsid w:val="77BF35D5"/>
    <w:rsid w:val="7BE73B54"/>
    <w:rsid w:val="7EAE9619"/>
    <w:rsid w:val="997E4F41"/>
    <w:rsid w:val="AFFFCA24"/>
    <w:rsid w:val="BA7B23C6"/>
    <w:rsid w:val="BCF62AE0"/>
    <w:rsid w:val="BFAFB5AA"/>
    <w:rsid w:val="DFB2BD2D"/>
    <w:rsid w:val="E7D76FBE"/>
    <w:rsid w:val="EFDFDF7E"/>
    <w:rsid w:val="F3ED758E"/>
    <w:rsid w:val="F7EFB1BC"/>
    <w:rsid w:val="FAB778A4"/>
    <w:rsid w:val="FEFCAF6C"/>
    <w:rsid w:val="FFCF88B5"/>
    <w:rsid w:val="FFDFD4A0"/>
    <w:rsid w:val="FFFF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paragraph" w:customStyle="1" w:styleId="9">
    <w:name w:val="正文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2022-03-19T10:50:00Z</dcterms:created>
  <dc:creator>Administrator</dc:creator>
  <cp:lastModifiedBy>淡定</cp:lastModifiedBy>
  <cp:lastPrinted>2022-03-25T19:37:00Z</cp:lastPrinted>
  <dcterms:modified xsi:type="dcterms:W3CDTF">2025-08-06T10:33:26Z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1906C274D79F468D897E0CE8CF8986EE</vt:lpwstr>
  </property>
</Properties>
</file>