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C7380">
      <w:pPr>
        <w:adjustRightInd w:val="0"/>
        <w:snapToGrid w:val="0"/>
        <w:spacing w:line="276" w:lineRule="auto"/>
        <w:rPr>
          <w:rFonts w:ascii="楷体_GB2312" w:hAnsi="楷体_GB2312" w:eastAsia="楷体_GB2312" w:cs="楷体_GB2312"/>
          <w:color w:val="0D0D0D" w:themeColor="text1" w:themeTint="F2"/>
          <w:sz w:val="36"/>
          <w:szCs w:val="36"/>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z w:val="36"/>
          <w:szCs w:val="36"/>
          <w14:textFill>
            <w14:solidFill>
              <w14:schemeClr w14:val="tx1">
                <w14:lumMod w14:val="95000"/>
                <w14:lumOff w14:val="5000"/>
              </w14:schemeClr>
            </w14:solidFill>
          </w14:textFill>
        </w:rPr>
        <w:t>附件：</w:t>
      </w:r>
    </w:p>
    <w:p w14:paraId="14AE46A5">
      <w:pPr>
        <w:pStyle w:val="2"/>
      </w:pPr>
    </w:p>
    <w:p w14:paraId="1E832338">
      <w:pPr>
        <w:adjustRightInd w:val="0"/>
        <w:snapToGrid w:val="0"/>
        <w:spacing w:line="276" w:lineRule="auto"/>
        <w:jc w:val="center"/>
        <w:rPr>
          <w:rFonts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pPr>
      <w:r>
        <w:rPr>
          <w:rFonts w:hint="eastAsia"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t>云浮市云城区国民经济和社会发展第十四个五年</w:t>
      </w:r>
    </w:p>
    <w:p w14:paraId="38BB565C">
      <w:pPr>
        <w:adjustRightInd w:val="0"/>
        <w:snapToGrid w:val="0"/>
        <w:spacing w:line="276" w:lineRule="auto"/>
        <w:jc w:val="center"/>
        <w:rPr>
          <w:rFonts w:ascii="方正大标宋简体" w:hAnsi="宋体" w:eastAsia="方正大标宋简体" w:cs="方正小标宋简体"/>
          <w:color w:val="0D0D0D" w:themeColor="text1" w:themeTint="F2"/>
          <w:sz w:val="40"/>
          <w:szCs w:val="40"/>
          <w14:textFill>
            <w14:solidFill>
              <w14:schemeClr w14:val="tx1">
                <w14:lumMod w14:val="95000"/>
                <w14:lumOff w14:val="5000"/>
              </w14:schemeClr>
            </w14:solidFill>
          </w14:textFill>
        </w:rPr>
      </w:pPr>
      <w:r>
        <w:rPr>
          <w:rFonts w:hint="eastAsia"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t>规划和二</w:t>
      </w:r>
      <w:r>
        <w:rPr>
          <w:rFonts w:hint="eastAsia" w:ascii="宋体" w:hAnsi="宋体" w:eastAsia="宋体" w:cs="宋体"/>
          <w:color w:val="0D0D0D" w:themeColor="text1" w:themeTint="F2"/>
          <w:sz w:val="40"/>
          <w:szCs w:val="40"/>
          <w14:textFill>
            <w14:solidFill>
              <w14:schemeClr w14:val="tx1">
                <w14:lumMod w14:val="95000"/>
                <w14:lumOff w14:val="5000"/>
              </w14:schemeClr>
            </w14:solidFill>
          </w14:textFill>
        </w:rPr>
        <w:t>〇</w:t>
      </w:r>
      <w:r>
        <w:rPr>
          <w:rFonts w:hint="eastAsia" w:ascii="方正小标宋简体" w:hAnsi="宋体" w:eastAsia="方正小标宋简体" w:cs="方正小标宋简体"/>
          <w:color w:val="0D0D0D" w:themeColor="text1" w:themeTint="F2"/>
          <w:sz w:val="40"/>
          <w:szCs w:val="40"/>
          <w14:textFill>
            <w14:solidFill>
              <w14:schemeClr w14:val="tx1">
                <w14:lumMod w14:val="95000"/>
                <w14:lumOff w14:val="5000"/>
              </w14:schemeClr>
            </w14:solidFill>
          </w14:textFill>
        </w:rPr>
        <w:t>三五年远景目标纲要</w:t>
      </w:r>
    </w:p>
    <w:p w14:paraId="1BFF1849">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14:paraId="2B13B4A7">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14:paraId="5E1079C9">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14:paraId="33927C9D">
      <w:pPr>
        <w:ind w:firstLine="648"/>
      </w:pPr>
    </w:p>
    <w:p w14:paraId="511435E7">
      <w:pPr>
        <w:ind w:firstLine="648"/>
      </w:pPr>
    </w:p>
    <w:p w14:paraId="5C20D329">
      <w:pPr>
        <w:ind w:firstLine="648"/>
      </w:pPr>
    </w:p>
    <w:p w14:paraId="3DA3CE88">
      <w:pPr>
        <w:ind w:firstLine="648"/>
      </w:pPr>
    </w:p>
    <w:p w14:paraId="054A548B">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14:paraId="33297513">
      <w:pPr>
        <w:adjustRightInd w:val="0"/>
        <w:snapToGrid w:val="0"/>
        <w:spacing w:line="600" w:lineRule="exact"/>
        <w:ind w:firstLine="646" w:firstLineChars="200"/>
        <w:rPr>
          <w:rFonts w:ascii="宋体" w:hAnsi="宋体"/>
          <w:color w:val="0D0D0D" w:themeColor="text1" w:themeTint="F2"/>
          <w:szCs w:val="32"/>
          <w14:textFill>
            <w14:solidFill>
              <w14:schemeClr w14:val="tx1">
                <w14:lumMod w14:val="95000"/>
                <w14:lumOff w14:val="5000"/>
              </w14:schemeClr>
            </w14:solidFill>
          </w14:textFill>
        </w:rPr>
      </w:pPr>
    </w:p>
    <w:p w14:paraId="5F47047B">
      <w:pPr>
        <w:adjustRightInd w:val="0"/>
        <w:snapToGrid w:val="0"/>
        <w:spacing w:line="600" w:lineRule="exact"/>
        <w:ind w:firstLine="646" w:firstLineChars="200"/>
        <w:jc w:val="center"/>
        <w:rPr>
          <w:rFonts w:ascii="宋体" w:hAnsi="宋体"/>
          <w:color w:val="0D0D0D" w:themeColor="text1" w:themeTint="F2"/>
          <w:szCs w:val="32"/>
          <w14:textFill>
            <w14:solidFill>
              <w14:schemeClr w14:val="tx1">
                <w14:lumMod w14:val="95000"/>
                <w14:lumOff w14:val="5000"/>
              </w14:schemeClr>
            </w14:solidFill>
          </w14:textFill>
        </w:rPr>
      </w:pPr>
    </w:p>
    <w:p w14:paraId="5A2D4209">
      <w:pPr>
        <w:spacing w:line="600" w:lineRule="exact"/>
        <w:jc w:val="center"/>
        <w:rPr>
          <w:rFonts w:ascii="楷体_GB2312" w:hAnsi="宋体" w:eastAsia="楷体_GB2312"/>
          <w:color w:val="0D0D0D" w:themeColor="text1" w:themeTint="F2"/>
          <w14:textFill>
            <w14:solidFill>
              <w14:schemeClr w14:val="tx1">
                <w14:lumMod w14:val="95000"/>
                <w14:lumOff w14:val="5000"/>
              </w14:schemeClr>
            </w14:solidFill>
          </w14:textFill>
        </w:rPr>
      </w:pPr>
      <w:r>
        <w:rPr>
          <w:rFonts w:hint="eastAsia" w:ascii="楷体_GB2312" w:hAnsi="宋体" w:eastAsia="楷体_GB2312"/>
          <w:color w:val="0D0D0D" w:themeColor="text1" w:themeTint="F2"/>
          <w:szCs w:val="32"/>
          <w14:textFill>
            <w14:solidFill>
              <w14:schemeClr w14:val="tx1">
                <w14:lumMod w14:val="95000"/>
                <w14:lumOff w14:val="5000"/>
              </w14:schemeClr>
            </w14:solidFill>
          </w14:textFill>
        </w:rPr>
        <w:t>二Ο二一年三月</w:t>
      </w:r>
      <w:r>
        <w:rPr>
          <w:rFonts w:hint="eastAsia" w:ascii="楷体_GB2312" w:hAnsi="宋体" w:eastAsia="楷体_GB2312"/>
          <w:color w:val="0D0D0D" w:themeColor="text1" w:themeTint="F2"/>
          <w14:textFill>
            <w14:solidFill>
              <w14:schemeClr w14:val="tx1">
                <w14:lumMod w14:val="95000"/>
                <w14:lumOff w14:val="5000"/>
              </w14:schemeClr>
            </w14:solidFill>
          </w14:textFill>
        </w:rPr>
        <w:br w:type="page"/>
      </w:r>
    </w:p>
    <w:sdt>
      <w:sdtPr>
        <w:rPr>
          <w:rFonts w:ascii="宋体" w:hAnsi="宋体" w:eastAsia="宋体" w:cs="Times New Roman"/>
          <w:color w:val="0D0D0D" w:themeColor="text1" w:themeTint="F2"/>
          <w:kern w:val="2"/>
          <w:sz w:val="21"/>
          <w:szCs w:val="24"/>
          <w:lang w:val="zh-CN"/>
          <w14:textFill>
            <w14:solidFill>
              <w14:schemeClr w14:val="tx1">
                <w14:lumMod w14:val="95000"/>
                <w14:lumOff w14:val="5000"/>
              </w14:schemeClr>
            </w14:solidFill>
          </w14:textFill>
        </w:rPr>
        <w:id w:val="450360773"/>
        <w:docPartObj>
          <w:docPartGallery w:val="Table of Contents"/>
          <w:docPartUnique/>
        </w:docPartObj>
      </w:sdtPr>
      <w:sdtEndPr>
        <w:rPr>
          <w:rFonts w:ascii="宋体" w:hAnsi="宋体" w:eastAsia="宋体" w:cs="Times New Roman"/>
          <w:b/>
          <w:bCs/>
          <w:color w:val="0D0D0D" w:themeColor="text1" w:themeTint="F2"/>
          <w:kern w:val="2"/>
          <w:sz w:val="21"/>
          <w:szCs w:val="24"/>
          <w:lang w:val="zh-CN"/>
          <w14:textFill>
            <w14:solidFill>
              <w14:schemeClr w14:val="tx1">
                <w14:lumMod w14:val="95000"/>
                <w14:lumOff w14:val="5000"/>
              </w14:schemeClr>
            </w14:solidFill>
          </w14:textFill>
        </w:rPr>
      </w:sdtEndPr>
      <w:sdtContent>
        <w:p w14:paraId="58018576">
          <w:pPr>
            <w:pStyle w:val="42"/>
            <w:spacing w:before="0" w:line="600" w:lineRule="exact"/>
            <w:jc w:val="center"/>
            <w:rPr>
              <w:rFonts w:ascii="宋体" w:hAnsi="宋体" w:eastAsia="黑体"/>
              <w:color w:val="0D0D0D" w:themeColor="text1" w:themeTint="F2"/>
              <w:sz w:val="34"/>
              <w:szCs w:val="34"/>
              <w:lang w:val="zh-CN"/>
              <w14:textFill>
                <w14:solidFill>
                  <w14:schemeClr w14:val="tx1">
                    <w14:lumMod w14:val="95000"/>
                    <w14:lumOff w14:val="5000"/>
                  </w14:schemeClr>
                </w14:solidFill>
              </w14:textFill>
            </w:rPr>
          </w:pPr>
          <w:r>
            <w:rPr>
              <w:rFonts w:ascii="宋体" w:hAnsi="宋体" w:eastAsia="黑体"/>
              <w:color w:val="0D0D0D" w:themeColor="text1" w:themeTint="F2"/>
              <w:sz w:val="34"/>
              <w:szCs w:val="34"/>
              <w:lang w:val="zh-CN"/>
              <w14:textFill>
                <w14:solidFill>
                  <w14:schemeClr w14:val="tx1">
                    <w14:lumMod w14:val="95000"/>
                    <w14:lumOff w14:val="5000"/>
                  </w14:schemeClr>
                </w14:solidFill>
              </w14:textFill>
            </w:rPr>
            <w:t>目</w:t>
          </w:r>
          <w:r>
            <w:rPr>
              <w:rFonts w:hint="eastAsia" w:ascii="宋体" w:hAnsi="宋体" w:eastAsia="黑体"/>
              <w:color w:val="0D0D0D" w:themeColor="text1" w:themeTint="F2"/>
              <w:sz w:val="34"/>
              <w:szCs w:val="34"/>
              <w:lang w:val="zh-CN"/>
              <w14:textFill>
                <w14:solidFill>
                  <w14:schemeClr w14:val="tx1">
                    <w14:lumMod w14:val="95000"/>
                    <w14:lumOff w14:val="5000"/>
                  </w14:schemeClr>
                </w14:solidFill>
              </w14:textFill>
            </w:rPr>
            <w:t xml:space="preserve">  </w:t>
          </w:r>
          <w:r>
            <w:rPr>
              <w:rFonts w:ascii="宋体" w:hAnsi="宋体" w:eastAsia="黑体"/>
              <w:color w:val="0D0D0D" w:themeColor="text1" w:themeTint="F2"/>
              <w:sz w:val="34"/>
              <w:szCs w:val="34"/>
              <w:lang w:val="zh-CN"/>
              <w14:textFill>
                <w14:solidFill>
                  <w14:schemeClr w14:val="tx1">
                    <w14:lumMod w14:val="95000"/>
                    <w14:lumOff w14:val="5000"/>
                  </w14:schemeClr>
                </w14:solidFill>
              </w14:textFill>
            </w:rPr>
            <w:t>录</w:t>
          </w:r>
        </w:p>
        <w:p w14:paraId="58C2F645">
          <w:pPr>
            <w:rPr>
              <w:lang w:val="zh-CN"/>
            </w:rPr>
          </w:pPr>
        </w:p>
        <w:p w14:paraId="744B00AE">
          <w:pPr>
            <w:pStyle w:val="14"/>
            <w:tabs>
              <w:tab w:val="right" w:leader="dot" w:pos="8730"/>
              <w:tab w:val="clear" w:pos="8720"/>
            </w:tabs>
            <w:spacing w:line="560" w:lineRule="exact"/>
            <w:rPr>
              <w:rFonts w:ascii="楷体" w:hAnsi="楷体" w:eastAsia="楷体" w:cs="楷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TOC \o "1-3" \h \z \u </w:instrText>
          </w:r>
          <w:r>
            <w:rPr>
              <w:rFonts w:hint="eastAsia" w:ascii="楷体" w:hAnsi="楷体" w:eastAsia="楷体" w:cs="楷体"/>
              <w:sz w:val="30"/>
              <w:szCs w:val="30"/>
            </w:rPr>
            <w:fldChar w:fldCharType="separate"/>
          </w:r>
          <w:r>
            <w:fldChar w:fldCharType="begin"/>
          </w:r>
          <w:r>
            <w:instrText xml:space="preserve"> HYPERLINK \l "_Toc12801" </w:instrText>
          </w:r>
          <w:r>
            <w:fldChar w:fldCharType="separate"/>
          </w:r>
          <w:r>
            <w:rPr>
              <w:rFonts w:hint="eastAsia" w:ascii="黑体" w:hAnsi="黑体" w:cs="楷体"/>
              <w:sz w:val="30"/>
              <w:szCs w:val="30"/>
            </w:rPr>
            <w:t>第一章 发展基础与发展环境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_Toc12801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52E7EC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"_Toc23791" </w:instrText>
          </w:r>
          <w:r>
            <w:fldChar w:fldCharType="separate"/>
          </w:r>
          <w:r>
            <w:rPr>
              <w:rFonts w:hint="eastAsia" w:ascii="楷体" w:hAnsi="楷体" w:eastAsia="楷体" w:cs="楷体"/>
              <w:kern w:val="0"/>
              <w:sz w:val="30"/>
              <w:szCs w:val="30"/>
            </w:rPr>
            <w:t>第一节 发展基础</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_Toc23791 </w:instrText>
          </w:r>
          <w:r>
            <w:rPr>
              <w:rFonts w:hint="eastAsia" w:ascii="楷体" w:hAnsi="楷体" w:eastAsia="楷体" w:cs="楷体"/>
              <w:sz w:val="30"/>
              <w:szCs w:val="30"/>
            </w:rPr>
            <w:fldChar w:fldCharType="separate"/>
          </w:r>
          <w:r>
            <w:rPr>
              <w:rFonts w:hint="eastAsia" w:ascii="楷体" w:hAnsi="楷体" w:eastAsia="楷体" w:cs="楷体"/>
              <w:sz w:val="30"/>
              <w:szCs w:val="30"/>
            </w:rPr>
            <w:t>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6E49026">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"_Toc11733" </w:instrText>
          </w:r>
          <w:r>
            <w:fldChar w:fldCharType="separate"/>
          </w:r>
          <w:r>
            <w:rPr>
              <w:rFonts w:hint="eastAsia" w:ascii="楷体" w:hAnsi="楷体" w:eastAsia="楷体" w:cs="楷体"/>
              <w:kern w:val="0"/>
              <w:sz w:val="30"/>
              <w:szCs w:val="30"/>
            </w:rPr>
            <w:t>第二节 发展环境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_Toc11733 </w:instrText>
          </w:r>
          <w:r>
            <w:rPr>
              <w:rFonts w:hint="eastAsia" w:ascii="楷体" w:hAnsi="楷体" w:eastAsia="楷体" w:cs="楷体"/>
              <w:sz w:val="30"/>
              <w:szCs w:val="30"/>
            </w:rPr>
            <w:fldChar w:fldCharType="separate"/>
          </w:r>
          <w:r>
            <w:rPr>
              <w:rFonts w:hint="eastAsia" w:ascii="楷体" w:hAnsi="楷体" w:eastAsia="楷体" w:cs="楷体"/>
              <w:sz w:val="30"/>
              <w:szCs w:val="30"/>
            </w:rPr>
            <w:t>10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1CA75A63">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"_Toc30336" </w:instrText>
          </w:r>
          <w:r>
            <w:fldChar w:fldCharType="separate"/>
          </w:r>
          <w:r>
            <w:rPr>
              <w:rFonts w:hint="eastAsia" w:ascii="黑体" w:hAnsi="黑体" w:cs="楷体"/>
              <w:sz w:val="30"/>
              <w:szCs w:val="30"/>
            </w:rPr>
            <w:t>第二章 总体要求和发展目标</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_Toc30336 </w:instrText>
          </w:r>
          <w:r>
            <w:rPr>
              <w:rFonts w:hint="eastAsia" w:ascii="楷体" w:hAnsi="楷体" w:eastAsia="楷体" w:cs="楷体"/>
              <w:sz w:val="30"/>
              <w:szCs w:val="30"/>
            </w:rPr>
            <w:fldChar w:fldCharType="separate"/>
          </w:r>
          <w:r>
            <w:rPr>
              <w:rFonts w:hint="eastAsia" w:ascii="楷体" w:hAnsi="楷体" w:eastAsia="楷体" w:cs="楷体"/>
              <w:sz w:val="30"/>
              <w:szCs w:val="30"/>
            </w:rPr>
            <w:t>14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7DF8A5E">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"_Toc6426" </w:instrText>
          </w:r>
          <w:r>
            <w:fldChar w:fldCharType="separate"/>
          </w:r>
          <w:r>
            <w:rPr>
              <w:rFonts w:hint="eastAsia" w:ascii="楷体" w:hAnsi="楷体" w:eastAsia="楷体" w:cs="楷体"/>
              <w:kern w:val="0"/>
              <w:sz w:val="30"/>
              <w:szCs w:val="30"/>
            </w:rPr>
            <w:t>第一节 指导思想</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_Toc6426 </w:instrText>
          </w:r>
          <w:r>
            <w:rPr>
              <w:rFonts w:hint="eastAsia" w:ascii="楷体" w:hAnsi="楷体" w:eastAsia="楷体" w:cs="楷体"/>
              <w:sz w:val="30"/>
              <w:szCs w:val="30"/>
            </w:rPr>
            <w:fldChar w:fldCharType="separate"/>
          </w:r>
          <w:r>
            <w:rPr>
              <w:rFonts w:hint="eastAsia" w:ascii="楷体" w:hAnsi="楷体" w:eastAsia="楷体" w:cs="楷体"/>
              <w:sz w:val="30"/>
              <w:szCs w:val="30"/>
            </w:rPr>
            <w:t>14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C6ADA39">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"_Toc28521" </w:instrText>
          </w:r>
          <w:r>
            <w:fldChar w:fldCharType="separate"/>
          </w:r>
          <w:r>
            <w:rPr>
              <w:rFonts w:hint="eastAsia" w:ascii="楷体" w:hAnsi="楷体" w:eastAsia="楷体" w:cs="楷体"/>
              <w:kern w:val="0"/>
              <w:sz w:val="30"/>
              <w:szCs w:val="30"/>
            </w:rPr>
            <w:t>第二节 发展原则</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_Toc28521 </w:instrText>
          </w:r>
          <w:r>
            <w:rPr>
              <w:rFonts w:hint="eastAsia" w:ascii="楷体" w:hAnsi="楷体" w:eastAsia="楷体" w:cs="楷体"/>
              <w:sz w:val="30"/>
              <w:szCs w:val="30"/>
            </w:rPr>
            <w:fldChar w:fldCharType="separate"/>
          </w:r>
          <w:r>
            <w:rPr>
              <w:rFonts w:hint="eastAsia" w:ascii="楷体" w:hAnsi="楷体" w:eastAsia="楷体" w:cs="楷体"/>
              <w:sz w:val="30"/>
              <w:szCs w:val="30"/>
            </w:rPr>
            <w:t>15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1455838F">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"_Toc22105" </w:instrText>
          </w:r>
          <w:r>
            <w:fldChar w:fldCharType="separate"/>
          </w:r>
          <w:r>
            <w:rPr>
              <w:rFonts w:hint="eastAsia" w:ascii="楷体" w:hAnsi="楷体" w:eastAsia="楷体" w:cs="楷体"/>
              <w:kern w:val="0"/>
              <w:sz w:val="30"/>
              <w:szCs w:val="30"/>
            </w:rPr>
            <w:t>第三节 发展目标</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_Toc22105 </w:instrText>
          </w:r>
          <w:r>
            <w:rPr>
              <w:rFonts w:hint="eastAsia" w:ascii="楷体" w:hAnsi="楷体" w:eastAsia="楷体" w:cs="楷体"/>
              <w:sz w:val="30"/>
              <w:szCs w:val="30"/>
            </w:rPr>
            <w:fldChar w:fldCharType="separate"/>
          </w:r>
          <w:r>
            <w:rPr>
              <w:rFonts w:hint="eastAsia" w:ascii="楷体" w:hAnsi="楷体" w:eastAsia="楷体" w:cs="楷体"/>
              <w:sz w:val="30"/>
              <w:szCs w:val="30"/>
            </w:rPr>
            <w:t>16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CC7A34B">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"_Toc14174" </w:instrText>
          </w:r>
          <w:r>
            <w:fldChar w:fldCharType="separate"/>
          </w:r>
          <w:r>
            <w:rPr>
              <w:rFonts w:hint="eastAsia" w:ascii="黑体" w:hAnsi="黑体" w:cs="楷体"/>
              <w:sz w:val="30"/>
              <w:szCs w:val="30"/>
            </w:rPr>
            <w:t>第三章 全面提升创新能力，培育壮大发展新动能</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_Toc14174 </w:instrText>
          </w:r>
          <w:r>
            <w:rPr>
              <w:rFonts w:hint="eastAsia" w:ascii="楷体" w:hAnsi="楷体" w:eastAsia="楷体" w:cs="楷体"/>
              <w:sz w:val="30"/>
              <w:szCs w:val="30"/>
            </w:rPr>
            <w:fldChar w:fldCharType="separate"/>
          </w:r>
          <w:r>
            <w:rPr>
              <w:rFonts w:hint="eastAsia" w:ascii="楷体" w:hAnsi="楷体" w:eastAsia="楷体" w:cs="楷体"/>
              <w:sz w:val="30"/>
              <w:szCs w:val="30"/>
            </w:rPr>
            <w:t>20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15A076E4">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"_Toc6270" </w:instrText>
          </w:r>
          <w:r>
            <w:fldChar w:fldCharType="separate"/>
          </w:r>
          <w:r>
            <w:rPr>
              <w:rFonts w:hint="eastAsia" w:ascii="楷体" w:hAnsi="楷体" w:eastAsia="楷体" w:cs="楷体"/>
              <w:kern w:val="0"/>
              <w:sz w:val="30"/>
              <w:szCs w:val="30"/>
            </w:rPr>
            <w:t>第一节 构建多元化创新平台</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_Toc6270 </w:instrText>
          </w:r>
          <w:r>
            <w:rPr>
              <w:rFonts w:hint="eastAsia" w:ascii="楷体" w:hAnsi="楷体" w:eastAsia="楷体" w:cs="楷体"/>
              <w:sz w:val="30"/>
              <w:szCs w:val="30"/>
            </w:rPr>
            <w:fldChar w:fldCharType="separate"/>
          </w:r>
          <w:r>
            <w:rPr>
              <w:rFonts w:hint="eastAsia" w:ascii="楷体" w:hAnsi="楷体" w:eastAsia="楷体" w:cs="楷体"/>
              <w:sz w:val="30"/>
              <w:szCs w:val="30"/>
            </w:rPr>
            <w:t>21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17EA470">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"_Toc22401" </w:instrText>
          </w:r>
          <w:r>
            <w:fldChar w:fldCharType="separate"/>
          </w:r>
          <w:r>
            <w:rPr>
              <w:rFonts w:hint="eastAsia" w:ascii="楷体" w:hAnsi="楷体" w:eastAsia="楷体" w:cs="楷体"/>
              <w:kern w:val="0"/>
              <w:sz w:val="30"/>
              <w:szCs w:val="30"/>
            </w:rPr>
            <w:t>第二节 全力培育创新型企业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_Toc22401 </w:instrText>
          </w:r>
          <w:r>
            <w:rPr>
              <w:rFonts w:hint="eastAsia" w:ascii="楷体" w:hAnsi="楷体" w:eastAsia="楷体" w:cs="楷体"/>
              <w:sz w:val="30"/>
              <w:szCs w:val="30"/>
            </w:rPr>
            <w:fldChar w:fldCharType="separate"/>
          </w:r>
          <w:r>
            <w:rPr>
              <w:rFonts w:hint="eastAsia" w:ascii="楷体" w:hAnsi="楷体" w:eastAsia="楷体" w:cs="楷体"/>
              <w:sz w:val="30"/>
              <w:szCs w:val="30"/>
            </w:rPr>
            <w:t>22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BA83F91">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"_Toc26241" </w:instrText>
          </w:r>
          <w:r>
            <w:fldChar w:fldCharType="separate"/>
          </w:r>
          <w:r>
            <w:rPr>
              <w:rFonts w:hint="eastAsia" w:ascii="楷体" w:hAnsi="楷体" w:eastAsia="楷体" w:cs="楷体"/>
              <w:kern w:val="0"/>
              <w:sz w:val="30"/>
              <w:szCs w:val="30"/>
            </w:rPr>
            <w:t>第三节 构筑创新型人才强区</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_Toc26241 </w:instrText>
          </w:r>
          <w:r>
            <w:rPr>
              <w:rFonts w:hint="eastAsia" w:ascii="楷体" w:hAnsi="楷体" w:eastAsia="楷体" w:cs="楷体"/>
              <w:sz w:val="30"/>
              <w:szCs w:val="30"/>
            </w:rPr>
            <w:fldChar w:fldCharType="separate"/>
          </w:r>
          <w:r>
            <w:rPr>
              <w:rFonts w:hint="eastAsia" w:ascii="楷体" w:hAnsi="楷体" w:eastAsia="楷体" w:cs="楷体"/>
              <w:sz w:val="30"/>
              <w:szCs w:val="30"/>
            </w:rPr>
            <w:t>23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B5A16A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"_Toc15324" </w:instrText>
          </w:r>
          <w:r>
            <w:fldChar w:fldCharType="separate"/>
          </w:r>
          <w:r>
            <w:rPr>
              <w:rFonts w:hint="eastAsia" w:ascii="楷体" w:hAnsi="楷体" w:eastAsia="楷体" w:cs="楷体"/>
              <w:kern w:val="0"/>
              <w:sz w:val="30"/>
              <w:szCs w:val="30"/>
            </w:rPr>
            <w:t>第四节 打造科技成果转化地</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_Toc15324 </w:instrText>
          </w:r>
          <w:r>
            <w:rPr>
              <w:rFonts w:hint="eastAsia" w:ascii="楷体" w:hAnsi="楷体" w:eastAsia="楷体" w:cs="楷体"/>
              <w:sz w:val="30"/>
              <w:szCs w:val="30"/>
            </w:rPr>
            <w:fldChar w:fldCharType="separate"/>
          </w:r>
          <w:r>
            <w:rPr>
              <w:rFonts w:hint="eastAsia" w:ascii="楷体" w:hAnsi="楷体" w:eastAsia="楷体" w:cs="楷体"/>
              <w:sz w:val="30"/>
              <w:szCs w:val="30"/>
            </w:rPr>
            <w:t>25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3CF88247">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"_Toc16745" </w:instrText>
          </w:r>
          <w:r>
            <w:fldChar w:fldCharType="separate"/>
          </w:r>
          <w:r>
            <w:rPr>
              <w:rFonts w:hint="eastAsia" w:ascii="黑体" w:hAnsi="黑体" w:cs="楷体"/>
              <w:sz w:val="30"/>
              <w:szCs w:val="30"/>
            </w:rPr>
            <w:t>第四章 加快发展现代产业，推动经济体系优化升级</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_Toc16745 </w:instrText>
          </w:r>
          <w:r>
            <w:rPr>
              <w:rFonts w:hint="eastAsia" w:ascii="楷体" w:hAnsi="楷体" w:eastAsia="楷体" w:cs="楷体"/>
              <w:sz w:val="30"/>
              <w:szCs w:val="30"/>
            </w:rPr>
            <w:fldChar w:fldCharType="separate"/>
          </w:r>
          <w:r>
            <w:rPr>
              <w:rFonts w:hint="eastAsia" w:ascii="楷体" w:hAnsi="楷体" w:eastAsia="楷体" w:cs="楷体"/>
              <w:sz w:val="30"/>
              <w:szCs w:val="30"/>
            </w:rPr>
            <w:t>26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3CCCCA4">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"_Toc14809" </w:instrText>
          </w:r>
          <w:r>
            <w:fldChar w:fldCharType="separate"/>
          </w:r>
          <w:r>
            <w:rPr>
              <w:rFonts w:hint="eastAsia" w:ascii="楷体" w:hAnsi="楷体" w:eastAsia="楷体" w:cs="楷体"/>
              <w:kern w:val="0"/>
              <w:sz w:val="30"/>
              <w:szCs w:val="30"/>
            </w:rPr>
            <w:t>第一节 推动产业园高质量发展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_Toc14809 </w:instrText>
          </w:r>
          <w:r>
            <w:rPr>
              <w:rFonts w:hint="eastAsia" w:ascii="楷体" w:hAnsi="楷体" w:eastAsia="楷体" w:cs="楷体"/>
              <w:sz w:val="30"/>
              <w:szCs w:val="30"/>
            </w:rPr>
            <w:fldChar w:fldCharType="separate"/>
          </w:r>
          <w:r>
            <w:rPr>
              <w:rFonts w:hint="eastAsia" w:ascii="楷体" w:hAnsi="楷体" w:eastAsia="楷体" w:cs="楷体"/>
              <w:sz w:val="30"/>
              <w:szCs w:val="30"/>
            </w:rPr>
            <w:t>26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7A32BF4">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"_Toc10100" </w:instrText>
          </w:r>
          <w:r>
            <w:fldChar w:fldCharType="separate"/>
          </w:r>
          <w:r>
            <w:rPr>
              <w:rFonts w:hint="eastAsia" w:ascii="楷体" w:hAnsi="楷体" w:eastAsia="楷体" w:cs="楷体"/>
              <w:kern w:val="0"/>
              <w:sz w:val="30"/>
              <w:szCs w:val="30"/>
            </w:rPr>
            <w:t>第二节 聚力发展新型支柱产业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_Toc10100 </w:instrText>
          </w:r>
          <w:r>
            <w:rPr>
              <w:rFonts w:hint="eastAsia" w:ascii="楷体" w:hAnsi="楷体" w:eastAsia="楷体" w:cs="楷体"/>
              <w:sz w:val="30"/>
              <w:szCs w:val="30"/>
            </w:rPr>
            <w:fldChar w:fldCharType="separate"/>
          </w:r>
          <w:r>
            <w:rPr>
              <w:rFonts w:hint="eastAsia" w:ascii="楷体" w:hAnsi="楷体" w:eastAsia="楷体" w:cs="楷体"/>
              <w:sz w:val="30"/>
              <w:szCs w:val="30"/>
            </w:rPr>
            <w:t>27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9C6E11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"_Toc17232" </w:instrText>
          </w:r>
          <w:r>
            <w:fldChar w:fldCharType="separate"/>
          </w:r>
          <w:r>
            <w:rPr>
              <w:rFonts w:hint="eastAsia" w:ascii="楷体" w:hAnsi="楷体" w:eastAsia="楷体" w:cs="楷体"/>
              <w:kern w:val="0"/>
              <w:sz w:val="30"/>
              <w:szCs w:val="30"/>
            </w:rPr>
            <w:t>第三节 创新升级绿色石材产业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_Toc17232 </w:instrText>
          </w:r>
          <w:r>
            <w:rPr>
              <w:rFonts w:hint="eastAsia" w:ascii="楷体" w:hAnsi="楷体" w:eastAsia="楷体" w:cs="楷体"/>
              <w:sz w:val="30"/>
              <w:szCs w:val="30"/>
            </w:rPr>
            <w:fldChar w:fldCharType="separate"/>
          </w:r>
          <w:r>
            <w:rPr>
              <w:rFonts w:hint="eastAsia" w:ascii="楷体" w:hAnsi="楷体" w:eastAsia="楷体" w:cs="楷体"/>
              <w:sz w:val="30"/>
              <w:szCs w:val="30"/>
            </w:rPr>
            <w:t>30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79C746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"_Toc17764" </w:instrText>
          </w:r>
          <w:r>
            <w:fldChar w:fldCharType="separate"/>
          </w:r>
          <w:r>
            <w:rPr>
              <w:rFonts w:hint="eastAsia" w:ascii="楷体" w:hAnsi="楷体" w:eastAsia="楷体" w:cs="楷体"/>
              <w:kern w:val="0"/>
              <w:sz w:val="30"/>
              <w:szCs w:val="30"/>
            </w:rPr>
            <w:t>第四节 提质做优现代服务业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_Toc17764 </w:instrText>
          </w:r>
          <w:r>
            <w:rPr>
              <w:rFonts w:hint="eastAsia" w:ascii="楷体" w:hAnsi="楷体" w:eastAsia="楷体" w:cs="楷体"/>
              <w:sz w:val="30"/>
              <w:szCs w:val="30"/>
            </w:rPr>
            <w:fldChar w:fldCharType="separate"/>
          </w:r>
          <w:r>
            <w:rPr>
              <w:rFonts w:hint="eastAsia" w:ascii="楷体" w:hAnsi="楷体" w:eastAsia="楷体" w:cs="楷体"/>
              <w:sz w:val="30"/>
              <w:szCs w:val="30"/>
            </w:rPr>
            <w:t>31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E81DC9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"_Toc29469" </w:instrText>
          </w:r>
          <w:r>
            <w:fldChar w:fldCharType="separate"/>
          </w:r>
          <w:r>
            <w:rPr>
              <w:rFonts w:hint="eastAsia" w:ascii="楷体" w:hAnsi="楷体" w:eastAsia="楷体" w:cs="楷体"/>
              <w:kern w:val="0"/>
              <w:sz w:val="30"/>
              <w:szCs w:val="30"/>
            </w:rPr>
            <w:t>第五节 大力实施质量提升工程</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_Toc29469 </w:instrText>
          </w:r>
          <w:r>
            <w:rPr>
              <w:rFonts w:hint="eastAsia" w:ascii="楷体" w:hAnsi="楷体" w:eastAsia="楷体" w:cs="楷体"/>
              <w:sz w:val="30"/>
              <w:szCs w:val="30"/>
            </w:rPr>
            <w:fldChar w:fldCharType="separate"/>
          </w:r>
          <w:r>
            <w:rPr>
              <w:rFonts w:hint="eastAsia" w:ascii="楷体" w:hAnsi="楷体" w:eastAsia="楷体" w:cs="楷体"/>
              <w:sz w:val="30"/>
              <w:szCs w:val="30"/>
            </w:rPr>
            <w:t>34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62E0CEB">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"_Toc28479" </w:instrText>
          </w:r>
          <w:r>
            <w:fldChar w:fldCharType="separate"/>
          </w:r>
          <w:r>
            <w:rPr>
              <w:rFonts w:hint="eastAsia" w:ascii="楷体" w:hAnsi="楷体" w:eastAsia="楷体" w:cs="楷体"/>
              <w:kern w:val="0"/>
              <w:sz w:val="30"/>
              <w:szCs w:val="30"/>
            </w:rPr>
            <w:t>第六节 加快数字化发展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_Toc28479 </w:instrText>
          </w:r>
          <w:r>
            <w:rPr>
              <w:rFonts w:hint="eastAsia" w:ascii="楷体" w:hAnsi="楷体" w:eastAsia="楷体" w:cs="楷体"/>
              <w:sz w:val="30"/>
              <w:szCs w:val="30"/>
            </w:rPr>
            <w:fldChar w:fldCharType="separate"/>
          </w:r>
          <w:r>
            <w:rPr>
              <w:rFonts w:hint="eastAsia" w:ascii="楷体" w:hAnsi="楷体" w:eastAsia="楷体" w:cs="楷体"/>
              <w:sz w:val="30"/>
              <w:szCs w:val="30"/>
            </w:rPr>
            <w:t>35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742FCC8">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"_Toc18276" </w:instrText>
          </w:r>
          <w:r>
            <w:fldChar w:fldCharType="separate"/>
          </w:r>
          <w:r>
            <w:rPr>
              <w:rFonts w:hint="eastAsia" w:ascii="黑体" w:hAnsi="黑体" w:cs="楷体"/>
              <w:sz w:val="30"/>
              <w:szCs w:val="30"/>
            </w:rPr>
            <w:t>第五章 优先发展农业农村，全面推进乡村振兴</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_Toc18276 </w:instrText>
          </w:r>
          <w:r>
            <w:rPr>
              <w:rFonts w:hint="eastAsia" w:ascii="楷体" w:hAnsi="楷体" w:eastAsia="楷体" w:cs="楷体"/>
              <w:sz w:val="30"/>
              <w:szCs w:val="30"/>
            </w:rPr>
            <w:fldChar w:fldCharType="separate"/>
          </w:r>
          <w:r>
            <w:rPr>
              <w:rFonts w:hint="eastAsia" w:ascii="楷体" w:hAnsi="楷体" w:eastAsia="楷体" w:cs="楷体"/>
              <w:sz w:val="30"/>
              <w:szCs w:val="30"/>
            </w:rPr>
            <w:t>36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8C2E8D2">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"_Toc1028" </w:instrText>
          </w:r>
          <w:r>
            <w:fldChar w:fldCharType="separate"/>
          </w:r>
          <w:r>
            <w:rPr>
              <w:rFonts w:hint="eastAsia" w:ascii="楷体" w:hAnsi="楷体" w:eastAsia="楷体" w:cs="楷体"/>
              <w:kern w:val="0"/>
              <w:sz w:val="30"/>
              <w:szCs w:val="30"/>
            </w:rPr>
            <w:t>第一节 聚焦农民“富足度”发展现代特色农业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_Toc1028 </w:instrText>
          </w:r>
          <w:r>
            <w:rPr>
              <w:rFonts w:hint="eastAsia" w:ascii="楷体" w:hAnsi="楷体" w:eastAsia="楷体" w:cs="楷体"/>
              <w:sz w:val="30"/>
              <w:szCs w:val="30"/>
            </w:rPr>
            <w:fldChar w:fldCharType="separate"/>
          </w:r>
          <w:r>
            <w:rPr>
              <w:rFonts w:hint="eastAsia" w:ascii="楷体" w:hAnsi="楷体" w:eastAsia="楷体" w:cs="楷体"/>
              <w:sz w:val="30"/>
              <w:szCs w:val="30"/>
            </w:rPr>
            <w:t>36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E258BFB">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"_Toc16103" </w:instrText>
          </w:r>
          <w:r>
            <w:fldChar w:fldCharType="separate"/>
          </w:r>
          <w:r>
            <w:rPr>
              <w:rFonts w:hint="eastAsia" w:ascii="楷体" w:hAnsi="楷体" w:eastAsia="楷体" w:cs="楷体"/>
              <w:kern w:val="0"/>
              <w:sz w:val="30"/>
              <w:szCs w:val="30"/>
            </w:rPr>
            <w:t>第二节 聚焦农村“宜居度”实施乡村建设行动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_Toc16103 </w:instrText>
          </w:r>
          <w:r>
            <w:rPr>
              <w:rFonts w:hint="eastAsia" w:ascii="楷体" w:hAnsi="楷体" w:eastAsia="楷体" w:cs="楷体"/>
              <w:sz w:val="30"/>
              <w:szCs w:val="30"/>
            </w:rPr>
            <w:fldChar w:fldCharType="separate"/>
          </w:r>
          <w:r>
            <w:rPr>
              <w:rFonts w:hint="eastAsia" w:ascii="楷体" w:hAnsi="楷体" w:eastAsia="楷体" w:cs="楷体"/>
              <w:sz w:val="30"/>
              <w:szCs w:val="30"/>
            </w:rPr>
            <w:t>39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71A374D">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"_Toc15400" </w:instrText>
          </w:r>
          <w:r>
            <w:fldChar w:fldCharType="separate"/>
          </w:r>
          <w:r>
            <w:rPr>
              <w:rFonts w:hint="eastAsia" w:ascii="楷体" w:hAnsi="楷体" w:eastAsia="楷体" w:cs="楷体"/>
              <w:kern w:val="0"/>
              <w:sz w:val="30"/>
              <w:szCs w:val="30"/>
            </w:rPr>
            <w:t>第三节 聚焦农村“惠民度”推动农村综合改革</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_Toc15400 </w:instrText>
          </w:r>
          <w:r>
            <w:rPr>
              <w:rFonts w:hint="eastAsia" w:ascii="楷体" w:hAnsi="楷体" w:eastAsia="楷体" w:cs="楷体"/>
              <w:sz w:val="30"/>
              <w:szCs w:val="30"/>
            </w:rPr>
            <w:fldChar w:fldCharType="separate"/>
          </w:r>
          <w:r>
            <w:rPr>
              <w:rFonts w:hint="eastAsia" w:ascii="楷体" w:hAnsi="楷体" w:eastAsia="楷体" w:cs="楷体"/>
              <w:sz w:val="30"/>
              <w:szCs w:val="30"/>
            </w:rPr>
            <w:t>42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A66DD06">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"_Toc31258" </w:instrText>
          </w:r>
          <w:r>
            <w:fldChar w:fldCharType="separate"/>
          </w:r>
          <w:r>
            <w:rPr>
              <w:rFonts w:hint="eastAsia" w:ascii="楷体" w:hAnsi="楷体" w:eastAsia="楷体" w:cs="楷体"/>
              <w:kern w:val="0"/>
              <w:sz w:val="30"/>
              <w:szCs w:val="30"/>
            </w:rPr>
            <w:t>第四节 巩固拓展脱贫攻坚成果同乡村振兴有效衔接</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_Toc31258 </w:instrText>
          </w:r>
          <w:r>
            <w:rPr>
              <w:rFonts w:hint="eastAsia" w:ascii="楷体" w:hAnsi="楷体" w:eastAsia="楷体" w:cs="楷体"/>
              <w:sz w:val="30"/>
              <w:szCs w:val="30"/>
            </w:rPr>
            <w:fldChar w:fldCharType="separate"/>
          </w:r>
          <w:r>
            <w:rPr>
              <w:rFonts w:hint="eastAsia" w:ascii="楷体" w:hAnsi="楷体" w:eastAsia="楷体" w:cs="楷体"/>
              <w:sz w:val="30"/>
              <w:szCs w:val="30"/>
            </w:rPr>
            <w:t>43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5F7C2E3">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"_Toc8404" </w:instrText>
          </w:r>
          <w:r>
            <w:fldChar w:fldCharType="separate"/>
          </w:r>
          <w:r>
            <w:rPr>
              <w:rFonts w:hint="eastAsia" w:ascii="黑体" w:hAnsi="黑体" w:cs="楷体"/>
              <w:sz w:val="30"/>
              <w:szCs w:val="30"/>
            </w:rPr>
            <w:t>第六章 主动融入“双循环”新格局，坚定不移打造新发展格局战略支点</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_Toc8404 </w:instrText>
          </w:r>
          <w:r>
            <w:rPr>
              <w:rFonts w:hint="eastAsia" w:ascii="楷体" w:hAnsi="楷体" w:eastAsia="楷体" w:cs="楷体"/>
              <w:sz w:val="30"/>
              <w:szCs w:val="30"/>
            </w:rPr>
            <w:fldChar w:fldCharType="separate"/>
          </w:r>
          <w:r>
            <w:rPr>
              <w:rFonts w:hint="eastAsia" w:ascii="楷体" w:hAnsi="楷体" w:eastAsia="楷体" w:cs="楷体"/>
              <w:sz w:val="30"/>
              <w:szCs w:val="30"/>
            </w:rPr>
            <w:t>44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0106DB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"_Toc17888" </w:instrText>
          </w:r>
          <w:r>
            <w:fldChar w:fldCharType="separate"/>
          </w:r>
          <w:r>
            <w:rPr>
              <w:rFonts w:hint="eastAsia" w:ascii="楷体" w:hAnsi="楷体" w:eastAsia="楷体" w:cs="楷体"/>
              <w:kern w:val="0"/>
              <w:sz w:val="30"/>
              <w:szCs w:val="30"/>
            </w:rPr>
            <w:t>第一节 积极扩大有效投资</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_Toc17888 </w:instrText>
          </w:r>
          <w:r>
            <w:rPr>
              <w:rFonts w:hint="eastAsia" w:ascii="楷体" w:hAnsi="楷体" w:eastAsia="楷体" w:cs="楷体"/>
              <w:sz w:val="30"/>
              <w:szCs w:val="30"/>
            </w:rPr>
            <w:fldChar w:fldCharType="separate"/>
          </w:r>
          <w:r>
            <w:rPr>
              <w:rFonts w:hint="eastAsia" w:ascii="楷体" w:hAnsi="楷体" w:eastAsia="楷体" w:cs="楷体"/>
              <w:sz w:val="30"/>
              <w:szCs w:val="30"/>
            </w:rPr>
            <w:t>45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5A7B803">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"_Toc6718" </w:instrText>
          </w:r>
          <w:r>
            <w:fldChar w:fldCharType="separate"/>
          </w:r>
          <w:r>
            <w:rPr>
              <w:rFonts w:hint="eastAsia" w:ascii="楷体" w:hAnsi="楷体" w:eastAsia="楷体" w:cs="楷体"/>
              <w:kern w:val="0"/>
              <w:sz w:val="30"/>
              <w:szCs w:val="30"/>
            </w:rPr>
            <w:t>第二节 促进消费扩容提质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_Toc6718 </w:instrText>
          </w:r>
          <w:r>
            <w:rPr>
              <w:rFonts w:hint="eastAsia" w:ascii="楷体" w:hAnsi="楷体" w:eastAsia="楷体" w:cs="楷体"/>
              <w:sz w:val="30"/>
              <w:szCs w:val="30"/>
            </w:rPr>
            <w:fldChar w:fldCharType="separate"/>
          </w:r>
          <w:r>
            <w:rPr>
              <w:rFonts w:hint="eastAsia" w:ascii="楷体" w:hAnsi="楷体" w:eastAsia="楷体" w:cs="楷体"/>
              <w:sz w:val="30"/>
              <w:szCs w:val="30"/>
            </w:rPr>
            <w:t>48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ECED27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"_Toc25870" </w:instrText>
          </w:r>
          <w:r>
            <w:fldChar w:fldCharType="separate"/>
          </w:r>
          <w:r>
            <w:rPr>
              <w:rFonts w:hint="eastAsia" w:ascii="楷体" w:hAnsi="楷体" w:eastAsia="楷体" w:cs="楷体"/>
              <w:kern w:val="0"/>
              <w:sz w:val="30"/>
              <w:szCs w:val="30"/>
            </w:rPr>
            <w:t>第三节 推动外贸高质量发展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_Toc25870 </w:instrText>
          </w:r>
          <w:r>
            <w:rPr>
              <w:rFonts w:hint="eastAsia" w:ascii="楷体" w:hAnsi="楷体" w:eastAsia="楷体" w:cs="楷体"/>
              <w:sz w:val="30"/>
              <w:szCs w:val="30"/>
            </w:rPr>
            <w:fldChar w:fldCharType="separate"/>
          </w:r>
          <w:r>
            <w:rPr>
              <w:rFonts w:hint="eastAsia" w:ascii="楷体" w:hAnsi="楷体" w:eastAsia="楷体" w:cs="楷体"/>
              <w:sz w:val="30"/>
              <w:szCs w:val="30"/>
            </w:rPr>
            <w:t>50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B026546">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"_Toc13712" </w:instrText>
          </w:r>
          <w:r>
            <w:fldChar w:fldCharType="separate"/>
          </w:r>
          <w:r>
            <w:rPr>
              <w:rFonts w:hint="eastAsia" w:ascii="楷体" w:hAnsi="楷体" w:eastAsia="楷体" w:cs="楷体"/>
              <w:kern w:val="0"/>
              <w:sz w:val="30"/>
              <w:szCs w:val="30"/>
            </w:rPr>
            <w:t>第四节 增强招商引资力度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_Toc13712 </w:instrText>
          </w:r>
          <w:r>
            <w:rPr>
              <w:rFonts w:hint="eastAsia" w:ascii="楷体" w:hAnsi="楷体" w:eastAsia="楷体" w:cs="楷体"/>
              <w:sz w:val="30"/>
              <w:szCs w:val="30"/>
            </w:rPr>
            <w:fldChar w:fldCharType="separate"/>
          </w:r>
          <w:r>
            <w:rPr>
              <w:rFonts w:hint="eastAsia" w:ascii="楷体" w:hAnsi="楷体" w:eastAsia="楷体" w:cs="楷体"/>
              <w:sz w:val="30"/>
              <w:szCs w:val="30"/>
            </w:rPr>
            <w:t>50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365FC01A">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"_Toc22313" </w:instrText>
          </w:r>
          <w:r>
            <w:fldChar w:fldCharType="separate"/>
          </w:r>
          <w:r>
            <w:rPr>
              <w:rFonts w:hint="eastAsia" w:ascii="黑体" w:hAnsi="黑体" w:cs="楷体"/>
              <w:sz w:val="30"/>
              <w:szCs w:val="30"/>
            </w:rPr>
            <w:t>第七章 推进新型城镇化建设，加快推动区域协调发展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_Toc22313 </w:instrText>
          </w:r>
          <w:r>
            <w:rPr>
              <w:rFonts w:hint="eastAsia" w:ascii="楷体" w:hAnsi="楷体" w:eastAsia="楷体" w:cs="楷体"/>
              <w:sz w:val="30"/>
              <w:szCs w:val="30"/>
            </w:rPr>
            <w:fldChar w:fldCharType="separate"/>
          </w:r>
          <w:r>
            <w:rPr>
              <w:rFonts w:hint="eastAsia" w:ascii="楷体" w:hAnsi="楷体" w:eastAsia="楷体" w:cs="楷体"/>
              <w:sz w:val="30"/>
              <w:szCs w:val="30"/>
            </w:rPr>
            <w:t>51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044085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"_Toc1845" </w:instrText>
          </w:r>
          <w:r>
            <w:fldChar w:fldCharType="separate"/>
          </w:r>
          <w:r>
            <w:rPr>
              <w:rFonts w:hint="eastAsia" w:ascii="楷体" w:hAnsi="楷体" w:eastAsia="楷体" w:cs="楷体"/>
              <w:kern w:val="0"/>
              <w:sz w:val="30"/>
              <w:szCs w:val="30"/>
            </w:rPr>
            <w:t>第一节 全力提升中心城区首位度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_Toc1845 </w:instrText>
          </w:r>
          <w:r>
            <w:rPr>
              <w:rFonts w:hint="eastAsia" w:ascii="楷体" w:hAnsi="楷体" w:eastAsia="楷体" w:cs="楷体"/>
              <w:sz w:val="30"/>
              <w:szCs w:val="30"/>
            </w:rPr>
            <w:fldChar w:fldCharType="separate"/>
          </w:r>
          <w:r>
            <w:rPr>
              <w:rFonts w:hint="eastAsia" w:ascii="楷体" w:hAnsi="楷体" w:eastAsia="楷体" w:cs="楷体"/>
              <w:sz w:val="30"/>
              <w:szCs w:val="30"/>
            </w:rPr>
            <w:t>52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31D692E1">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"_Toc3580" </w:instrText>
          </w:r>
          <w:r>
            <w:fldChar w:fldCharType="separate"/>
          </w:r>
          <w:r>
            <w:rPr>
              <w:rFonts w:hint="eastAsia" w:ascii="楷体" w:hAnsi="楷体" w:eastAsia="楷体" w:cs="楷体"/>
              <w:kern w:val="0"/>
              <w:sz w:val="30"/>
              <w:szCs w:val="30"/>
            </w:rPr>
            <w:t>第二节 加快农业转移人口市民化</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_Toc3580 </w:instrText>
          </w:r>
          <w:r>
            <w:rPr>
              <w:rFonts w:hint="eastAsia" w:ascii="楷体" w:hAnsi="楷体" w:eastAsia="楷体" w:cs="楷体"/>
              <w:sz w:val="30"/>
              <w:szCs w:val="30"/>
            </w:rPr>
            <w:fldChar w:fldCharType="separate"/>
          </w:r>
          <w:r>
            <w:rPr>
              <w:rFonts w:hint="eastAsia" w:ascii="楷体" w:hAnsi="楷体" w:eastAsia="楷体" w:cs="楷体"/>
              <w:sz w:val="30"/>
              <w:szCs w:val="30"/>
            </w:rPr>
            <w:t>53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21D302E">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"_Toc29844" </w:instrText>
          </w:r>
          <w:r>
            <w:fldChar w:fldCharType="separate"/>
          </w:r>
          <w:r>
            <w:rPr>
              <w:rFonts w:hint="eastAsia" w:ascii="楷体" w:hAnsi="楷体" w:eastAsia="楷体" w:cs="楷体"/>
              <w:kern w:val="0"/>
              <w:sz w:val="30"/>
              <w:szCs w:val="30"/>
            </w:rPr>
            <w:t>第三节 推动镇域经济高质量发展</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_Toc29844 </w:instrText>
          </w:r>
          <w:r>
            <w:rPr>
              <w:rFonts w:hint="eastAsia" w:ascii="楷体" w:hAnsi="楷体" w:eastAsia="楷体" w:cs="楷体"/>
              <w:sz w:val="30"/>
              <w:szCs w:val="30"/>
            </w:rPr>
            <w:fldChar w:fldCharType="separate"/>
          </w:r>
          <w:r>
            <w:rPr>
              <w:rFonts w:hint="eastAsia" w:ascii="楷体" w:hAnsi="楷体" w:eastAsia="楷体" w:cs="楷体"/>
              <w:sz w:val="30"/>
              <w:szCs w:val="30"/>
            </w:rPr>
            <w:t>54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DB9D921">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"_Toc20729" </w:instrText>
          </w:r>
          <w:r>
            <w:fldChar w:fldCharType="separate"/>
          </w:r>
          <w:r>
            <w:rPr>
              <w:rFonts w:hint="eastAsia" w:ascii="黑体" w:hAnsi="黑体" w:cs="楷体"/>
              <w:sz w:val="30"/>
              <w:szCs w:val="30"/>
            </w:rPr>
            <w:t>第八章 持续深化重点领域改革，增强经济社会发展动力活力</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_Toc20729 </w:instrText>
          </w:r>
          <w:r>
            <w:rPr>
              <w:rFonts w:hint="eastAsia" w:ascii="楷体" w:hAnsi="楷体" w:eastAsia="楷体" w:cs="楷体"/>
              <w:sz w:val="30"/>
              <w:szCs w:val="30"/>
            </w:rPr>
            <w:fldChar w:fldCharType="separate"/>
          </w:r>
          <w:r>
            <w:rPr>
              <w:rFonts w:hint="eastAsia" w:ascii="楷体" w:hAnsi="楷体" w:eastAsia="楷体" w:cs="楷体"/>
              <w:sz w:val="30"/>
              <w:szCs w:val="30"/>
            </w:rPr>
            <w:t>56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7ABB9FF">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"_Toc18545" </w:instrText>
          </w:r>
          <w:r>
            <w:fldChar w:fldCharType="separate"/>
          </w:r>
          <w:r>
            <w:rPr>
              <w:rFonts w:hint="eastAsia" w:ascii="楷体" w:hAnsi="楷体" w:eastAsia="楷体" w:cs="楷体"/>
              <w:kern w:val="0"/>
              <w:sz w:val="30"/>
              <w:szCs w:val="30"/>
            </w:rPr>
            <w:t>第一节 进一步优化营商环境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_Toc18545 </w:instrText>
          </w:r>
          <w:r>
            <w:rPr>
              <w:rFonts w:hint="eastAsia" w:ascii="楷体" w:hAnsi="楷体" w:eastAsia="楷体" w:cs="楷体"/>
              <w:sz w:val="30"/>
              <w:szCs w:val="30"/>
            </w:rPr>
            <w:fldChar w:fldCharType="separate"/>
          </w:r>
          <w:r>
            <w:rPr>
              <w:rFonts w:hint="eastAsia" w:ascii="楷体" w:hAnsi="楷体" w:eastAsia="楷体" w:cs="楷体"/>
              <w:sz w:val="30"/>
              <w:szCs w:val="30"/>
            </w:rPr>
            <w:t>56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AE8BE6E">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"_Toc17537" </w:instrText>
          </w:r>
          <w:r>
            <w:fldChar w:fldCharType="separate"/>
          </w:r>
          <w:r>
            <w:rPr>
              <w:rFonts w:hint="eastAsia" w:ascii="楷体" w:hAnsi="楷体" w:eastAsia="楷体" w:cs="楷体"/>
              <w:kern w:val="0"/>
              <w:sz w:val="30"/>
              <w:szCs w:val="30"/>
            </w:rPr>
            <w:t>第二节 全面激发市场主体活力</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_Toc17537 </w:instrText>
          </w:r>
          <w:r>
            <w:rPr>
              <w:rFonts w:hint="eastAsia" w:ascii="楷体" w:hAnsi="楷体" w:eastAsia="楷体" w:cs="楷体"/>
              <w:sz w:val="30"/>
              <w:szCs w:val="30"/>
            </w:rPr>
            <w:fldChar w:fldCharType="separate"/>
          </w:r>
          <w:r>
            <w:rPr>
              <w:rFonts w:hint="eastAsia" w:ascii="楷体" w:hAnsi="楷体" w:eastAsia="楷体" w:cs="楷体"/>
              <w:sz w:val="30"/>
              <w:szCs w:val="30"/>
            </w:rPr>
            <w:t>58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0F81190">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"_Toc20371" </w:instrText>
          </w:r>
          <w:r>
            <w:fldChar w:fldCharType="separate"/>
          </w:r>
          <w:r>
            <w:rPr>
              <w:rFonts w:hint="eastAsia" w:ascii="楷体" w:hAnsi="楷体" w:eastAsia="楷体" w:cs="楷体"/>
              <w:kern w:val="0"/>
              <w:sz w:val="30"/>
              <w:szCs w:val="30"/>
            </w:rPr>
            <w:t>第三节 加快完善经济体制改革</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_Toc20371 </w:instrText>
          </w:r>
          <w:r>
            <w:rPr>
              <w:rFonts w:hint="eastAsia" w:ascii="楷体" w:hAnsi="楷体" w:eastAsia="楷体" w:cs="楷体"/>
              <w:sz w:val="30"/>
              <w:szCs w:val="30"/>
            </w:rPr>
            <w:fldChar w:fldCharType="separate"/>
          </w:r>
          <w:r>
            <w:rPr>
              <w:rFonts w:hint="eastAsia" w:ascii="楷体" w:hAnsi="楷体" w:eastAsia="楷体" w:cs="楷体"/>
              <w:sz w:val="30"/>
              <w:szCs w:val="30"/>
            </w:rPr>
            <w:t>59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98C5196">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"_Toc31879" </w:instrText>
          </w:r>
          <w:r>
            <w:fldChar w:fldCharType="separate"/>
          </w:r>
          <w:r>
            <w:rPr>
              <w:rFonts w:hint="eastAsia" w:ascii="黑体" w:hAnsi="黑体" w:cs="楷体"/>
              <w:sz w:val="30"/>
              <w:szCs w:val="30"/>
            </w:rPr>
            <w:t>第九章 加速融入“双区”建设，拓展区域合作新空间</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_Toc31879 </w:instrText>
          </w:r>
          <w:r>
            <w:rPr>
              <w:rFonts w:hint="eastAsia" w:ascii="楷体" w:hAnsi="楷体" w:eastAsia="楷体" w:cs="楷体"/>
              <w:sz w:val="30"/>
              <w:szCs w:val="30"/>
            </w:rPr>
            <w:fldChar w:fldCharType="separate"/>
          </w:r>
          <w:r>
            <w:rPr>
              <w:rFonts w:hint="eastAsia" w:ascii="楷体" w:hAnsi="楷体" w:eastAsia="楷体" w:cs="楷体"/>
              <w:sz w:val="30"/>
              <w:szCs w:val="30"/>
            </w:rPr>
            <w:t>60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FA7D6CF">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"_Toc26465" </w:instrText>
          </w:r>
          <w:r>
            <w:fldChar w:fldCharType="separate"/>
          </w:r>
          <w:r>
            <w:rPr>
              <w:rFonts w:hint="eastAsia" w:ascii="楷体" w:hAnsi="楷体" w:eastAsia="楷体" w:cs="楷体"/>
              <w:kern w:val="0"/>
              <w:sz w:val="30"/>
              <w:szCs w:val="30"/>
            </w:rPr>
            <w:t>第一节 提升融湾经济合作水平</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_Toc26465 </w:instrText>
          </w:r>
          <w:r>
            <w:rPr>
              <w:rFonts w:hint="eastAsia" w:ascii="楷体" w:hAnsi="楷体" w:eastAsia="楷体" w:cs="楷体"/>
              <w:sz w:val="30"/>
              <w:szCs w:val="30"/>
            </w:rPr>
            <w:fldChar w:fldCharType="separate"/>
          </w:r>
          <w:r>
            <w:rPr>
              <w:rFonts w:hint="eastAsia" w:ascii="楷体" w:hAnsi="楷体" w:eastAsia="楷体" w:cs="楷体"/>
              <w:sz w:val="30"/>
              <w:szCs w:val="30"/>
            </w:rPr>
            <w:t>61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5C0D150">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"_Toc32038" </w:instrText>
          </w:r>
          <w:r>
            <w:fldChar w:fldCharType="separate"/>
          </w:r>
          <w:r>
            <w:rPr>
              <w:rFonts w:hint="eastAsia" w:ascii="楷体" w:hAnsi="楷体" w:eastAsia="楷体" w:cs="楷体"/>
              <w:kern w:val="0"/>
              <w:sz w:val="30"/>
              <w:szCs w:val="30"/>
            </w:rPr>
            <w:t>第二节 主动对接广州都市圈</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_Toc32038 </w:instrText>
          </w:r>
          <w:r>
            <w:rPr>
              <w:rFonts w:hint="eastAsia" w:ascii="楷体" w:hAnsi="楷体" w:eastAsia="楷体" w:cs="楷体"/>
              <w:sz w:val="30"/>
              <w:szCs w:val="30"/>
            </w:rPr>
            <w:fldChar w:fldCharType="separate"/>
          </w:r>
          <w:r>
            <w:rPr>
              <w:rFonts w:hint="eastAsia" w:ascii="楷体" w:hAnsi="楷体" w:eastAsia="楷体" w:cs="楷体"/>
              <w:sz w:val="30"/>
              <w:szCs w:val="30"/>
            </w:rPr>
            <w:t>62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349E278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"_Toc30348" </w:instrText>
          </w:r>
          <w:r>
            <w:fldChar w:fldCharType="separate"/>
          </w:r>
          <w:r>
            <w:rPr>
              <w:rFonts w:hint="eastAsia" w:ascii="楷体" w:hAnsi="楷体" w:eastAsia="楷体" w:cs="楷体"/>
              <w:kern w:val="0"/>
              <w:sz w:val="30"/>
              <w:szCs w:val="30"/>
            </w:rPr>
            <w:t>第三节 广泛参与泛珠三角区域合作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_Toc30348 </w:instrText>
          </w:r>
          <w:r>
            <w:rPr>
              <w:rFonts w:hint="eastAsia" w:ascii="楷体" w:hAnsi="楷体" w:eastAsia="楷体" w:cs="楷体"/>
              <w:sz w:val="30"/>
              <w:szCs w:val="30"/>
            </w:rPr>
            <w:fldChar w:fldCharType="separate"/>
          </w:r>
          <w:r>
            <w:rPr>
              <w:rFonts w:hint="eastAsia" w:ascii="楷体" w:hAnsi="楷体" w:eastAsia="楷体" w:cs="楷体"/>
              <w:sz w:val="30"/>
              <w:szCs w:val="30"/>
            </w:rPr>
            <w:t>62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9852828">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"_Toc24874" </w:instrText>
          </w:r>
          <w:r>
            <w:fldChar w:fldCharType="separate"/>
          </w:r>
          <w:r>
            <w:rPr>
              <w:rFonts w:hint="eastAsia" w:ascii="黑体" w:hAnsi="黑体" w:cs="楷体"/>
              <w:sz w:val="30"/>
              <w:szCs w:val="30"/>
            </w:rPr>
            <w:t>第十章 繁荣发展文化事业和文化产业，着力推动文化强区建设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_Toc24874 </w:instrText>
          </w:r>
          <w:r>
            <w:rPr>
              <w:rFonts w:hint="eastAsia" w:ascii="楷体" w:hAnsi="楷体" w:eastAsia="楷体" w:cs="楷体"/>
              <w:sz w:val="30"/>
              <w:szCs w:val="30"/>
            </w:rPr>
            <w:fldChar w:fldCharType="separate"/>
          </w:r>
          <w:r>
            <w:rPr>
              <w:rFonts w:hint="eastAsia" w:ascii="楷体" w:hAnsi="楷体" w:eastAsia="楷体" w:cs="楷体"/>
              <w:sz w:val="30"/>
              <w:szCs w:val="30"/>
            </w:rPr>
            <w:t>63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391289F3">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"_Toc18446" </w:instrText>
          </w:r>
          <w:r>
            <w:fldChar w:fldCharType="separate"/>
          </w:r>
          <w:r>
            <w:rPr>
              <w:rFonts w:hint="eastAsia" w:ascii="楷体" w:hAnsi="楷体" w:eastAsia="楷体" w:cs="楷体"/>
              <w:kern w:val="0"/>
              <w:sz w:val="30"/>
              <w:szCs w:val="30"/>
            </w:rPr>
            <w:t>第一节 提高社会文明程度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_Toc18446 </w:instrText>
          </w:r>
          <w:r>
            <w:rPr>
              <w:rFonts w:hint="eastAsia" w:ascii="楷体" w:hAnsi="楷体" w:eastAsia="楷体" w:cs="楷体"/>
              <w:sz w:val="30"/>
              <w:szCs w:val="30"/>
            </w:rPr>
            <w:fldChar w:fldCharType="separate"/>
          </w:r>
          <w:r>
            <w:rPr>
              <w:rFonts w:hint="eastAsia" w:ascii="楷体" w:hAnsi="楷体" w:eastAsia="楷体" w:cs="楷体"/>
              <w:sz w:val="30"/>
              <w:szCs w:val="30"/>
            </w:rPr>
            <w:t>63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0912BA6">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"_Toc23962" </w:instrText>
          </w:r>
          <w:r>
            <w:fldChar w:fldCharType="separate"/>
          </w:r>
          <w:r>
            <w:rPr>
              <w:rFonts w:hint="eastAsia" w:ascii="楷体" w:hAnsi="楷体" w:eastAsia="楷体" w:cs="楷体"/>
              <w:kern w:val="0"/>
              <w:sz w:val="30"/>
              <w:szCs w:val="30"/>
            </w:rPr>
            <w:t>第二节 健全完善公共文化服务体系</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_Toc23962 </w:instrText>
          </w:r>
          <w:r>
            <w:rPr>
              <w:rFonts w:hint="eastAsia" w:ascii="楷体" w:hAnsi="楷体" w:eastAsia="楷体" w:cs="楷体"/>
              <w:sz w:val="30"/>
              <w:szCs w:val="30"/>
            </w:rPr>
            <w:fldChar w:fldCharType="separate"/>
          </w:r>
          <w:r>
            <w:rPr>
              <w:rFonts w:hint="eastAsia" w:ascii="楷体" w:hAnsi="楷体" w:eastAsia="楷体" w:cs="楷体"/>
              <w:sz w:val="30"/>
              <w:szCs w:val="30"/>
            </w:rPr>
            <w:t>64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36552FC">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"_Toc17146" </w:instrText>
          </w:r>
          <w:r>
            <w:fldChar w:fldCharType="separate"/>
          </w:r>
          <w:r>
            <w:rPr>
              <w:rFonts w:hint="eastAsia" w:ascii="楷体" w:hAnsi="楷体" w:eastAsia="楷体" w:cs="楷体"/>
              <w:kern w:val="0"/>
              <w:sz w:val="30"/>
              <w:szCs w:val="30"/>
            </w:rPr>
            <w:t>第三节 大力发展文化产业</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_Toc17146 </w:instrText>
          </w:r>
          <w:r>
            <w:rPr>
              <w:rFonts w:hint="eastAsia" w:ascii="楷体" w:hAnsi="楷体" w:eastAsia="楷体" w:cs="楷体"/>
              <w:sz w:val="30"/>
              <w:szCs w:val="30"/>
            </w:rPr>
            <w:fldChar w:fldCharType="separate"/>
          </w:r>
          <w:r>
            <w:rPr>
              <w:rFonts w:hint="eastAsia" w:ascii="楷体" w:hAnsi="楷体" w:eastAsia="楷体" w:cs="楷体"/>
              <w:sz w:val="30"/>
              <w:szCs w:val="30"/>
            </w:rPr>
            <w:t>65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5F60008">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"_Toc21182" </w:instrText>
          </w:r>
          <w:r>
            <w:fldChar w:fldCharType="separate"/>
          </w:r>
          <w:r>
            <w:rPr>
              <w:rFonts w:hint="eastAsia" w:ascii="黑体" w:hAnsi="黑体" w:cs="楷体"/>
              <w:sz w:val="30"/>
              <w:szCs w:val="30"/>
            </w:rPr>
            <w:t>第十一章 筑牢绿色生态屏障，建设美丽生态云城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_Toc21182 </w:instrText>
          </w:r>
          <w:r>
            <w:rPr>
              <w:rFonts w:hint="eastAsia" w:ascii="楷体" w:hAnsi="楷体" w:eastAsia="楷体" w:cs="楷体"/>
              <w:sz w:val="30"/>
              <w:szCs w:val="30"/>
            </w:rPr>
            <w:fldChar w:fldCharType="separate"/>
          </w:r>
          <w:r>
            <w:rPr>
              <w:rFonts w:hint="eastAsia" w:ascii="楷体" w:hAnsi="楷体" w:eastAsia="楷体" w:cs="楷体"/>
              <w:sz w:val="30"/>
              <w:szCs w:val="30"/>
            </w:rPr>
            <w:t>67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ED3ED9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"_Toc3572" </w:instrText>
          </w:r>
          <w:r>
            <w:fldChar w:fldCharType="separate"/>
          </w:r>
          <w:r>
            <w:rPr>
              <w:rFonts w:hint="eastAsia" w:ascii="楷体" w:hAnsi="楷体" w:eastAsia="楷体" w:cs="楷体"/>
              <w:kern w:val="0"/>
              <w:sz w:val="30"/>
              <w:szCs w:val="30"/>
            </w:rPr>
            <w:t>第一节 厚培生态“绿境”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_Toc3572 </w:instrText>
          </w:r>
          <w:r>
            <w:rPr>
              <w:rFonts w:hint="eastAsia" w:ascii="楷体" w:hAnsi="楷体" w:eastAsia="楷体" w:cs="楷体"/>
              <w:sz w:val="30"/>
              <w:szCs w:val="30"/>
            </w:rPr>
            <w:fldChar w:fldCharType="separate"/>
          </w:r>
          <w:r>
            <w:rPr>
              <w:rFonts w:hint="eastAsia" w:ascii="楷体" w:hAnsi="楷体" w:eastAsia="楷体" w:cs="楷体"/>
              <w:sz w:val="30"/>
              <w:szCs w:val="30"/>
            </w:rPr>
            <w:t>67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EF1F15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"_Toc24127" </w:instrText>
          </w:r>
          <w:r>
            <w:fldChar w:fldCharType="separate"/>
          </w:r>
          <w:r>
            <w:rPr>
              <w:rFonts w:hint="eastAsia" w:ascii="楷体" w:hAnsi="楷体" w:eastAsia="楷体" w:cs="楷体"/>
              <w:kern w:val="0"/>
              <w:sz w:val="30"/>
              <w:szCs w:val="30"/>
            </w:rPr>
            <w:t>第二节 强化环保基础设施建设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_Toc24127 </w:instrText>
          </w:r>
          <w:r>
            <w:rPr>
              <w:rFonts w:hint="eastAsia" w:ascii="楷体" w:hAnsi="楷体" w:eastAsia="楷体" w:cs="楷体"/>
              <w:sz w:val="30"/>
              <w:szCs w:val="30"/>
            </w:rPr>
            <w:fldChar w:fldCharType="separate"/>
          </w:r>
          <w:r>
            <w:rPr>
              <w:rFonts w:hint="eastAsia" w:ascii="楷体" w:hAnsi="楷体" w:eastAsia="楷体" w:cs="楷体"/>
              <w:sz w:val="30"/>
              <w:szCs w:val="30"/>
            </w:rPr>
            <w:t>69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706D25B">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"_Toc25420" </w:instrText>
          </w:r>
          <w:r>
            <w:fldChar w:fldCharType="separate"/>
          </w:r>
          <w:r>
            <w:rPr>
              <w:rFonts w:hint="eastAsia" w:ascii="楷体" w:hAnsi="楷体" w:eastAsia="楷体" w:cs="楷体"/>
              <w:kern w:val="0"/>
              <w:sz w:val="30"/>
              <w:szCs w:val="30"/>
            </w:rPr>
            <w:t>第三节 推进生态环境治理能力现代化</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_Toc25420 </w:instrText>
          </w:r>
          <w:r>
            <w:rPr>
              <w:rFonts w:hint="eastAsia" w:ascii="楷体" w:hAnsi="楷体" w:eastAsia="楷体" w:cs="楷体"/>
              <w:sz w:val="30"/>
              <w:szCs w:val="30"/>
            </w:rPr>
            <w:fldChar w:fldCharType="separate"/>
          </w:r>
          <w:r>
            <w:rPr>
              <w:rFonts w:hint="eastAsia" w:ascii="楷体" w:hAnsi="楷体" w:eastAsia="楷体" w:cs="楷体"/>
              <w:sz w:val="30"/>
              <w:szCs w:val="30"/>
            </w:rPr>
            <w:t>70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6C9560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"_Toc16203" </w:instrText>
          </w:r>
          <w:r>
            <w:fldChar w:fldCharType="separate"/>
          </w:r>
          <w:r>
            <w:rPr>
              <w:rFonts w:hint="eastAsia" w:ascii="楷体" w:hAnsi="楷体" w:eastAsia="楷体" w:cs="楷体"/>
              <w:kern w:val="0"/>
              <w:sz w:val="30"/>
              <w:szCs w:val="30"/>
            </w:rPr>
            <w:t>第四节 践行绿色低碳发展方式</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_Toc16203 </w:instrText>
          </w:r>
          <w:r>
            <w:rPr>
              <w:rFonts w:hint="eastAsia" w:ascii="楷体" w:hAnsi="楷体" w:eastAsia="楷体" w:cs="楷体"/>
              <w:sz w:val="30"/>
              <w:szCs w:val="30"/>
            </w:rPr>
            <w:fldChar w:fldCharType="separate"/>
          </w:r>
          <w:r>
            <w:rPr>
              <w:rFonts w:hint="eastAsia" w:ascii="楷体" w:hAnsi="楷体" w:eastAsia="楷体" w:cs="楷体"/>
              <w:sz w:val="30"/>
              <w:szCs w:val="30"/>
            </w:rPr>
            <w:t>71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3419DE7A">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"_Toc17168" </w:instrText>
          </w:r>
          <w:r>
            <w:fldChar w:fldCharType="separate"/>
          </w:r>
          <w:r>
            <w:rPr>
              <w:rFonts w:hint="eastAsia" w:ascii="黑体" w:hAnsi="黑体" w:cs="楷体"/>
              <w:sz w:val="30"/>
              <w:szCs w:val="30"/>
            </w:rPr>
            <w:t>第十二章 倾力增进民生福祉，建设更高水平幸福云城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_Toc17168 </w:instrText>
          </w:r>
          <w:r>
            <w:rPr>
              <w:rFonts w:hint="eastAsia" w:ascii="楷体" w:hAnsi="楷体" w:eastAsia="楷体" w:cs="楷体"/>
              <w:sz w:val="30"/>
              <w:szCs w:val="30"/>
            </w:rPr>
            <w:fldChar w:fldCharType="separate"/>
          </w:r>
          <w:r>
            <w:rPr>
              <w:rFonts w:hint="eastAsia" w:ascii="楷体" w:hAnsi="楷体" w:eastAsia="楷体" w:cs="楷体"/>
              <w:sz w:val="30"/>
              <w:szCs w:val="30"/>
            </w:rPr>
            <w:t>72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1BA6D59">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"_Toc9448" </w:instrText>
          </w:r>
          <w:r>
            <w:fldChar w:fldCharType="separate"/>
          </w:r>
          <w:r>
            <w:rPr>
              <w:rFonts w:hint="eastAsia" w:ascii="楷体" w:hAnsi="楷体" w:eastAsia="楷体" w:cs="楷体"/>
              <w:kern w:val="0"/>
              <w:sz w:val="30"/>
              <w:szCs w:val="30"/>
            </w:rPr>
            <w:t>第一节 提高教育现代化水平</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_Toc9448 </w:instrText>
          </w:r>
          <w:r>
            <w:rPr>
              <w:rFonts w:hint="eastAsia" w:ascii="楷体" w:hAnsi="楷体" w:eastAsia="楷体" w:cs="楷体"/>
              <w:sz w:val="30"/>
              <w:szCs w:val="30"/>
            </w:rPr>
            <w:fldChar w:fldCharType="separate"/>
          </w:r>
          <w:r>
            <w:rPr>
              <w:rFonts w:hint="eastAsia" w:ascii="楷体" w:hAnsi="楷体" w:eastAsia="楷体" w:cs="楷体"/>
              <w:sz w:val="30"/>
              <w:szCs w:val="30"/>
            </w:rPr>
            <w:t>72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A2EC1AE">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"_Toc23188" </w:instrText>
          </w:r>
          <w:r>
            <w:fldChar w:fldCharType="separate"/>
          </w:r>
          <w:r>
            <w:rPr>
              <w:rFonts w:hint="eastAsia" w:ascii="楷体" w:hAnsi="楷体" w:eastAsia="楷体" w:cs="楷体"/>
              <w:kern w:val="0"/>
              <w:sz w:val="30"/>
              <w:szCs w:val="30"/>
            </w:rPr>
            <w:t>第二节 大力建设健康云城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_Toc23188 </w:instrText>
          </w:r>
          <w:r>
            <w:rPr>
              <w:rFonts w:hint="eastAsia" w:ascii="楷体" w:hAnsi="楷体" w:eastAsia="楷体" w:cs="楷体"/>
              <w:sz w:val="30"/>
              <w:szCs w:val="30"/>
            </w:rPr>
            <w:fldChar w:fldCharType="separate"/>
          </w:r>
          <w:r>
            <w:rPr>
              <w:rFonts w:hint="eastAsia" w:ascii="楷体" w:hAnsi="楷体" w:eastAsia="楷体" w:cs="楷体"/>
              <w:sz w:val="30"/>
              <w:szCs w:val="30"/>
            </w:rPr>
            <w:t>75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645098F">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"_Toc32737" </w:instrText>
          </w:r>
          <w:r>
            <w:fldChar w:fldCharType="separate"/>
          </w:r>
          <w:r>
            <w:rPr>
              <w:rFonts w:hint="eastAsia" w:ascii="楷体" w:hAnsi="楷体" w:eastAsia="楷体" w:cs="楷体"/>
              <w:kern w:val="0"/>
              <w:sz w:val="30"/>
              <w:szCs w:val="30"/>
            </w:rPr>
            <w:t>第三节 积极应对人口老龄化</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_Toc32737 </w:instrText>
          </w:r>
          <w:r>
            <w:rPr>
              <w:rFonts w:hint="eastAsia" w:ascii="楷体" w:hAnsi="楷体" w:eastAsia="楷体" w:cs="楷体"/>
              <w:sz w:val="30"/>
              <w:szCs w:val="30"/>
            </w:rPr>
            <w:fldChar w:fldCharType="separate"/>
          </w:r>
          <w:r>
            <w:rPr>
              <w:rFonts w:hint="eastAsia" w:ascii="楷体" w:hAnsi="楷体" w:eastAsia="楷体" w:cs="楷体"/>
              <w:sz w:val="30"/>
              <w:szCs w:val="30"/>
            </w:rPr>
            <w:t>77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6EB6A6C">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"_Toc30010" </w:instrText>
          </w:r>
          <w:r>
            <w:fldChar w:fldCharType="separate"/>
          </w:r>
          <w:r>
            <w:rPr>
              <w:rFonts w:hint="eastAsia" w:ascii="楷体" w:hAnsi="楷体" w:eastAsia="楷体" w:cs="楷体"/>
              <w:kern w:val="0"/>
              <w:sz w:val="30"/>
              <w:szCs w:val="30"/>
            </w:rPr>
            <w:t>第四节 构建多层次社会保障体系</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_Toc30010 </w:instrText>
          </w:r>
          <w:r>
            <w:rPr>
              <w:rFonts w:hint="eastAsia" w:ascii="楷体" w:hAnsi="楷体" w:eastAsia="楷体" w:cs="楷体"/>
              <w:sz w:val="30"/>
              <w:szCs w:val="30"/>
            </w:rPr>
            <w:fldChar w:fldCharType="separate"/>
          </w:r>
          <w:r>
            <w:rPr>
              <w:rFonts w:hint="eastAsia" w:ascii="楷体" w:hAnsi="楷体" w:eastAsia="楷体" w:cs="楷体"/>
              <w:sz w:val="30"/>
              <w:szCs w:val="30"/>
            </w:rPr>
            <w:t>79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ED2DE4F">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"_Toc31970" </w:instrText>
          </w:r>
          <w:r>
            <w:fldChar w:fldCharType="separate"/>
          </w:r>
          <w:r>
            <w:rPr>
              <w:rFonts w:hint="eastAsia" w:ascii="楷体" w:hAnsi="楷体" w:eastAsia="楷体" w:cs="楷体"/>
              <w:kern w:val="0"/>
              <w:sz w:val="30"/>
              <w:szCs w:val="30"/>
            </w:rPr>
            <w:t>第五节 加强和创新社会治理</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_Toc31970 </w:instrText>
          </w:r>
          <w:r>
            <w:rPr>
              <w:rFonts w:hint="eastAsia" w:ascii="楷体" w:hAnsi="楷体" w:eastAsia="楷体" w:cs="楷体"/>
              <w:sz w:val="30"/>
              <w:szCs w:val="30"/>
            </w:rPr>
            <w:fldChar w:fldCharType="separate"/>
          </w:r>
          <w:r>
            <w:rPr>
              <w:rFonts w:hint="eastAsia" w:ascii="楷体" w:hAnsi="楷体" w:eastAsia="楷体" w:cs="楷体"/>
              <w:sz w:val="30"/>
              <w:szCs w:val="30"/>
            </w:rPr>
            <w:t>81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3D5F362">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"_Toc10371" </w:instrText>
          </w:r>
          <w:r>
            <w:fldChar w:fldCharType="separate"/>
          </w:r>
          <w:r>
            <w:rPr>
              <w:rFonts w:hint="eastAsia" w:ascii="黑体" w:hAnsi="黑体" w:cs="楷体"/>
              <w:sz w:val="30"/>
              <w:szCs w:val="30"/>
            </w:rPr>
            <w:t>第十三章 统筹发展和安全，建设更高水平平安云城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_Toc10371 </w:instrText>
          </w:r>
          <w:r>
            <w:rPr>
              <w:rFonts w:hint="eastAsia" w:ascii="楷体" w:hAnsi="楷体" w:eastAsia="楷体" w:cs="楷体"/>
              <w:sz w:val="30"/>
              <w:szCs w:val="30"/>
            </w:rPr>
            <w:fldChar w:fldCharType="separate"/>
          </w:r>
          <w:r>
            <w:rPr>
              <w:rFonts w:hint="eastAsia" w:ascii="楷体" w:hAnsi="楷体" w:eastAsia="楷体" w:cs="楷体"/>
              <w:sz w:val="30"/>
              <w:szCs w:val="30"/>
            </w:rPr>
            <w:t>82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E56502C">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"_Toc12486" </w:instrText>
          </w:r>
          <w:r>
            <w:fldChar w:fldCharType="separate"/>
          </w:r>
          <w:r>
            <w:rPr>
              <w:rFonts w:hint="eastAsia" w:ascii="楷体" w:hAnsi="楷体" w:eastAsia="楷体" w:cs="楷体"/>
              <w:kern w:val="0"/>
              <w:sz w:val="30"/>
              <w:szCs w:val="30"/>
            </w:rPr>
            <w:t>第一节 建设更高水平的平安云城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_Toc12486 </w:instrText>
          </w:r>
          <w:r>
            <w:rPr>
              <w:rFonts w:hint="eastAsia" w:ascii="楷体" w:hAnsi="楷体" w:eastAsia="楷体" w:cs="楷体"/>
              <w:sz w:val="30"/>
              <w:szCs w:val="30"/>
            </w:rPr>
            <w:fldChar w:fldCharType="separate"/>
          </w:r>
          <w:r>
            <w:rPr>
              <w:rFonts w:hint="eastAsia" w:ascii="楷体" w:hAnsi="楷体" w:eastAsia="楷体" w:cs="楷体"/>
              <w:sz w:val="30"/>
              <w:szCs w:val="30"/>
            </w:rPr>
            <w:t>82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BF1EC6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"_Toc15797" </w:instrText>
          </w:r>
          <w:r>
            <w:fldChar w:fldCharType="separate"/>
          </w:r>
          <w:r>
            <w:rPr>
              <w:rFonts w:hint="eastAsia" w:ascii="楷体" w:hAnsi="楷体" w:eastAsia="楷体" w:cs="楷体"/>
              <w:kern w:val="0"/>
              <w:sz w:val="30"/>
              <w:szCs w:val="30"/>
            </w:rPr>
            <w:t>第二节 全面保障经济安全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_Toc15797 </w:instrText>
          </w:r>
          <w:r>
            <w:rPr>
              <w:rFonts w:hint="eastAsia" w:ascii="楷体" w:hAnsi="楷体" w:eastAsia="楷体" w:cs="楷体"/>
              <w:sz w:val="30"/>
              <w:szCs w:val="30"/>
            </w:rPr>
            <w:fldChar w:fldCharType="separate"/>
          </w:r>
          <w:r>
            <w:rPr>
              <w:rFonts w:hint="eastAsia" w:ascii="楷体" w:hAnsi="楷体" w:eastAsia="楷体" w:cs="楷体"/>
              <w:sz w:val="30"/>
              <w:szCs w:val="30"/>
            </w:rPr>
            <w:t>84</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14279A41">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"_Toc4145" </w:instrText>
          </w:r>
          <w:r>
            <w:fldChar w:fldCharType="separate"/>
          </w:r>
          <w:r>
            <w:rPr>
              <w:rFonts w:hint="eastAsia" w:ascii="楷体" w:hAnsi="楷体" w:eastAsia="楷体" w:cs="楷体"/>
              <w:kern w:val="0"/>
              <w:sz w:val="30"/>
              <w:szCs w:val="30"/>
            </w:rPr>
            <w:t>第三节 维护社会稳定和安全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_Toc4145 </w:instrText>
          </w:r>
          <w:r>
            <w:rPr>
              <w:rFonts w:hint="eastAsia" w:ascii="楷体" w:hAnsi="楷体" w:eastAsia="楷体" w:cs="楷体"/>
              <w:sz w:val="30"/>
              <w:szCs w:val="30"/>
            </w:rPr>
            <w:fldChar w:fldCharType="separate"/>
          </w:r>
          <w:r>
            <w:rPr>
              <w:rFonts w:hint="eastAsia" w:ascii="楷体" w:hAnsi="楷体" w:eastAsia="楷体" w:cs="楷体"/>
              <w:sz w:val="30"/>
              <w:szCs w:val="30"/>
            </w:rPr>
            <w:t>85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008ED130">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"_Toc11669" </w:instrText>
          </w:r>
          <w:r>
            <w:fldChar w:fldCharType="separate"/>
          </w:r>
          <w:r>
            <w:rPr>
              <w:rFonts w:hint="eastAsia" w:ascii="楷体" w:hAnsi="楷体" w:eastAsia="楷体" w:cs="楷体"/>
              <w:kern w:val="0"/>
              <w:sz w:val="30"/>
              <w:szCs w:val="30"/>
            </w:rPr>
            <w:t>第四节 加快建设法治云城</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_Toc11669 </w:instrText>
          </w:r>
          <w:r>
            <w:rPr>
              <w:rFonts w:hint="eastAsia" w:ascii="楷体" w:hAnsi="楷体" w:eastAsia="楷体" w:cs="楷体"/>
              <w:sz w:val="30"/>
              <w:szCs w:val="30"/>
            </w:rPr>
            <w:fldChar w:fldCharType="separate"/>
          </w:r>
          <w:r>
            <w:rPr>
              <w:rFonts w:hint="eastAsia" w:ascii="楷体" w:hAnsi="楷体" w:eastAsia="楷体" w:cs="楷体"/>
              <w:sz w:val="30"/>
              <w:szCs w:val="30"/>
            </w:rPr>
            <w:t>86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C6BAACD">
          <w:pPr>
            <w:pStyle w:val="14"/>
            <w:tabs>
              <w:tab w:val="right" w:leader="dot" w:pos="8730"/>
              <w:tab w:val="clear" w:pos="8720"/>
            </w:tabs>
            <w:spacing w:line="560" w:lineRule="exact"/>
            <w:rPr>
              <w:rFonts w:ascii="楷体" w:hAnsi="楷体" w:eastAsia="楷体" w:cs="楷体"/>
              <w:sz w:val="30"/>
              <w:szCs w:val="30"/>
            </w:rPr>
          </w:pPr>
          <w:r>
            <w:fldChar w:fldCharType="begin"/>
          </w:r>
          <w:r>
            <w:instrText xml:space="preserve"> HYPERLINK \l "_Toc21716" </w:instrText>
          </w:r>
          <w:r>
            <w:fldChar w:fldCharType="separate"/>
          </w:r>
          <w:r>
            <w:rPr>
              <w:rFonts w:hint="eastAsia" w:ascii="黑体" w:hAnsi="黑体" w:cs="楷体"/>
              <w:sz w:val="30"/>
              <w:szCs w:val="30"/>
            </w:rPr>
            <w:t>第十四章 健全规划实施机制，保障实现发展蓝图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_Toc21716 </w:instrText>
          </w:r>
          <w:r>
            <w:rPr>
              <w:rFonts w:hint="eastAsia" w:ascii="楷体" w:hAnsi="楷体" w:eastAsia="楷体" w:cs="楷体"/>
              <w:sz w:val="30"/>
              <w:szCs w:val="30"/>
            </w:rPr>
            <w:fldChar w:fldCharType="separate"/>
          </w:r>
          <w:r>
            <w:rPr>
              <w:rFonts w:hint="eastAsia" w:ascii="楷体" w:hAnsi="楷体" w:eastAsia="楷体" w:cs="楷体"/>
              <w:sz w:val="30"/>
              <w:szCs w:val="30"/>
            </w:rPr>
            <w:t>87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5CF1D682">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"_Toc26373" </w:instrText>
          </w:r>
          <w:r>
            <w:fldChar w:fldCharType="separate"/>
          </w:r>
          <w:r>
            <w:rPr>
              <w:rFonts w:hint="eastAsia" w:ascii="楷体" w:hAnsi="楷体" w:eastAsia="楷体" w:cs="楷体"/>
              <w:kern w:val="0"/>
              <w:sz w:val="30"/>
              <w:szCs w:val="30"/>
            </w:rPr>
            <w:t>第一节 加强党的全面领导</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_Toc26373 </w:instrText>
          </w:r>
          <w:r>
            <w:rPr>
              <w:rFonts w:hint="eastAsia" w:ascii="楷体" w:hAnsi="楷体" w:eastAsia="楷体" w:cs="楷体"/>
              <w:sz w:val="30"/>
              <w:szCs w:val="30"/>
            </w:rPr>
            <w:fldChar w:fldCharType="separate"/>
          </w:r>
          <w:r>
            <w:rPr>
              <w:rFonts w:hint="eastAsia" w:ascii="楷体" w:hAnsi="楷体" w:eastAsia="楷体" w:cs="楷体"/>
              <w:sz w:val="30"/>
              <w:szCs w:val="30"/>
            </w:rPr>
            <w:t>88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E13BA27">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"_Toc17947" </w:instrText>
          </w:r>
          <w:r>
            <w:fldChar w:fldCharType="separate"/>
          </w:r>
          <w:r>
            <w:rPr>
              <w:rFonts w:hint="eastAsia" w:ascii="楷体" w:hAnsi="楷体" w:eastAsia="楷体" w:cs="楷体"/>
              <w:kern w:val="0"/>
              <w:sz w:val="30"/>
              <w:szCs w:val="30"/>
            </w:rPr>
            <w:t>第二节 加强与上位规划衔接</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_Toc17947 </w:instrText>
          </w:r>
          <w:r>
            <w:rPr>
              <w:rFonts w:hint="eastAsia" w:ascii="楷体" w:hAnsi="楷体" w:eastAsia="楷体" w:cs="楷体"/>
              <w:sz w:val="30"/>
              <w:szCs w:val="30"/>
            </w:rPr>
            <w:fldChar w:fldCharType="separate"/>
          </w:r>
          <w:r>
            <w:rPr>
              <w:rFonts w:hint="eastAsia" w:ascii="楷体" w:hAnsi="楷体" w:eastAsia="楷体" w:cs="楷体"/>
              <w:sz w:val="30"/>
              <w:szCs w:val="30"/>
            </w:rPr>
            <w:t>89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69D2B68A">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"_Toc8073" </w:instrText>
          </w:r>
          <w:r>
            <w:fldChar w:fldCharType="separate"/>
          </w:r>
          <w:r>
            <w:rPr>
              <w:rFonts w:hint="eastAsia" w:ascii="楷体" w:hAnsi="楷体" w:eastAsia="楷体" w:cs="楷体"/>
              <w:kern w:val="0"/>
              <w:sz w:val="30"/>
              <w:szCs w:val="30"/>
            </w:rPr>
            <w:t>第三节 增强规划实施要素保障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_Toc8073 </w:instrText>
          </w:r>
          <w:r>
            <w:rPr>
              <w:rFonts w:hint="eastAsia" w:ascii="楷体" w:hAnsi="楷体" w:eastAsia="楷体" w:cs="楷体"/>
              <w:sz w:val="30"/>
              <w:szCs w:val="30"/>
            </w:rPr>
            <w:fldChar w:fldCharType="separate"/>
          </w:r>
          <w:r>
            <w:rPr>
              <w:rFonts w:hint="eastAsia" w:ascii="楷体" w:hAnsi="楷体" w:eastAsia="楷体" w:cs="楷体"/>
              <w:sz w:val="30"/>
              <w:szCs w:val="30"/>
            </w:rPr>
            <w:t>89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7C5D3A5">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"_Toc18460" </w:instrText>
          </w:r>
          <w:r>
            <w:fldChar w:fldCharType="separate"/>
          </w:r>
          <w:r>
            <w:rPr>
              <w:rFonts w:hint="eastAsia" w:ascii="楷体" w:hAnsi="楷体" w:eastAsia="楷体" w:cs="楷体"/>
              <w:kern w:val="0"/>
              <w:sz w:val="30"/>
              <w:szCs w:val="30"/>
            </w:rPr>
            <w:t>第四节 合理布局重大项目工程</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_Toc18460 </w:instrText>
          </w:r>
          <w:r>
            <w:rPr>
              <w:rFonts w:hint="eastAsia" w:ascii="楷体" w:hAnsi="楷体" w:eastAsia="楷体" w:cs="楷体"/>
              <w:sz w:val="30"/>
              <w:szCs w:val="30"/>
            </w:rPr>
            <w:fldChar w:fldCharType="separate"/>
          </w:r>
          <w:r>
            <w:rPr>
              <w:rFonts w:hint="eastAsia" w:ascii="楷体" w:hAnsi="楷体" w:eastAsia="楷体" w:cs="楷体"/>
              <w:sz w:val="30"/>
              <w:szCs w:val="30"/>
            </w:rPr>
            <w:t>89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4231EE68">
          <w:pPr>
            <w:pStyle w:val="15"/>
            <w:tabs>
              <w:tab w:val="right" w:leader="dot" w:pos="8730"/>
            </w:tabs>
            <w:spacing w:line="560" w:lineRule="exact"/>
            <w:ind w:left="648"/>
            <w:rPr>
              <w:rFonts w:ascii="楷体" w:hAnsi="楷体" w:eastAsia="楷体" w:cs="楷体"/>
              <w:sz w:val="30"/>
              <w:szCs w:val="30"/>
            </w:rPr>
          </w:pPr>
          <w:r>
            <w:fldChar w:fldCharType="begin"/>
          </w:r>
          <w:r>
            <w:instrText xml:space="preserve"> HYPERLINK \l "_Toc9472" </w:instrText>
          </w:r>
          <w:r>
            <w:fldChar w:fldCharType="separate"/>
          </w:r>
          <w:r>
            <w:rPr>
              <w:rFonts w:hint="eastAsia" w:ascii="楷体" w:hAnsi="楷体" w:eastAsia="楷体" w:cs="楷体"/>
              <w:kern w:val="0"/>
              <w:sz w:val="30"/>
              <w:szCs w:val="30"/>
            </w:rPr>
            <w:t>第五节 建立健全规划监督考核机制</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_Toc9472 </w:instrText>
          </w:r>
          <w:r>
            <w:rPr>
              <w:rFonts w:hint="eastAsia" w:ascii="楷体" w:hAnsi="楷体" w:eastAsia="楷体" w:cs="楷体"/>
              <w:sz w:val="30"/>
              <w:szCs w:val="30"/>
            </w:rPr>
            <w:fldChar w:fldCharType="separate"/>
          </w:r>
          <w:r>
            <w:rPr>
              <w:rFonts w:hint="eastAsia" w:ascii="楷体" w:hAnsi="楷体" w:eastAsia="楷体" w:cs="楷体"/>
              <w:sz w:val="30"/>
              <w:szCs w:val="30"/>
            </w:rPr>
            <w:t>90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76D57FBC">
          <w:pPr>
            <w:pStyle w:val="15"/>
            <w:tabs>
              <w:tab w:val="right" w:leader="dot" w:pos="8730"/>
            </w:tabs>
            <w:spacing w:line="560" w:lineRule="exact"/>
            <w:ind w:left="0" w:leftChars="0"/>
            <w:rPr>
              <w:rFonts w:ascii="楷体" w:hAnsi="楷体" w:eastAsia="楷体" w:cs="楷体"/>
              <w:sz w:val="30"/>
              <w:szCs w:val="30"/>
            </w:rPr>
          </w:pPr>
          <w:r>
            <w:fldChar w:fldCharType="begin"/>
          </w:r>
          <w:r>
            <w:instrText xml:space="preserve"> HYPERLINK \l "_Toc27371" </w:instrText>
          </w:r>
          <w:r>
            <w:fldChar w:fldCharType="separate"/>
          </w:r>
          <w:r>
            <w:rPr>
              <w:rFonts w:hint="eastAsia" w:ascii="黑体" w:hAnsi="黑体" w:eastAsia="黑体" w:cs="楷体"/>
              <w:kern w:val="0"/>
              <w:sz w:val="30"/>
              <w:szCs w:val="30"/>
            </w:rPr>
            <w:t>附件：</w:t>
          </w:r>
          <w:r>
            <w:rPr>
              <w:rFonts w:hint="eastAsia" w:ascii="楷体" w:hAnsi="楷体" w:eastAsia="楷体" w:cs="楷体"/>
              <w:kern w:val="0"/>
              <w:sz w:val="30"/>
              <w:szCs w:val="30"/>
            </w:rPr>
            <w:t>1.云城区“十四五”规划纲要名词注释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_Toc27371 </w:instrText>
          </w:r>
          <w:r>
            <w:rPr>
              <w:rFonts w:hint="eastAsia" w:ascii="楷体" w:hAnsi="楷体" w:eastAsia="楷体" w:cs="楷体"/>
              <w:sz w:val="30"/>
              <w:szCs w:val="30"/>
            </w:rPr>
            <w:fldChar w:fldCharType="separate"/>
          </w:r>
          <w:r>
            <w:rPr>
              <w:rFonts w:hint="eastAsia" w:ascii="楷体" w:hAnsi="楷体" w:eastAsia="楷体" w:cs="楷体"/>
              <w:sz w:val="30"/>
              <w:szCs w:val="30"/>
            </w:rPr>
            <w:t>90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14:paraId="2D1E0197">
          <w:pPr>
            <w:pStyle w:val="15"/>
            <w:tabs>
              <w:tab w:val="right" w:leader="dot" w:pos="8730"/>
            </w:tabs>
            <w:spacing w:line="560" w:lineRule="exact"/>
            <w:ind w:left="416" w:leftChars="129" w:firstLine="516" w:firstLineChars="160"/>
            <w:rPr>
              <w:rFonts w:ascii="宋体" w:hAnsi="宋体"/>
              <w:color w:val="0D0D0D" w:themeColor="text1" w:themeTint="F2"/>
              <w14:textFill>
                <w14:solidFill>
                  <w14:schemeClr w14:val="tx1">
                    <w14:lumMod w14:val="95000"/>
                    <w14:lumOff w14:val="5000"/>
                  </w14:schemeClr>
                </w14:solidFill>
              </w14:textFill>
            </w:rPr>
          </w:pPr>
          <w:r>
            <w:fldChar w:fldCharType="begin"/>
          </w:r>
          <w:r>
            <w:instrText xml:space="preserve"> HYPERLINK \l "_Toc8724" </w:instrText>
          </w:r>
          <w:r>
            <w:fldChar w:fldCharType="separate"/>
          </w:r>
          <w:r>
            <w:rPr>
              <w:rFonts w:hint="eastAsia" w:ascii="楷体" w:hAnsi="楷体" w:eastAsia="楷体" w:cs="楷体"/>
              <w:kern w:val="0"/>
              <w:sz w:val="30"/>
              <w:szCs w:val="30"/>
            </w:rPr>
            <w:t>2.云城区“十四五”规划重大项目表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_Toc8724 </w:instrText>
          </w:r>
          <w:r>
            <w:rPr>
              <w:rFonts w:hint="eastAsia" w:ascii="楷体" w:hAnsi="楷体" w:eastAsia="楷体" w:cs="楷体"/>
              <w:sz w:val="30"/>
              <w:szCs w:val="30"/>
            </w:rPr>
            <w:fldChar w:fldCharType="separate"/>
          </w:r>
          <w:r>
            <w:rPr>
              <w:rFonts w:hint="eastAsia" w:ascii="楷体" w:hAnsi="楷体" w:eastAsia="楷体" w:cs="楷体"/>
              <w:sz w:val="30"/>
              <w:szCs w:val="30"/>
            </w:rPr>
            <w:t>90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r>
            <w:rPr>
              <w:rFonts w:hint="eastAsia" w:ascii="楷体" w:hAnsi="楷体" w:eastAsia="楷体" w:cs="楷体"/>
              <w:sz w:val="30"/>
              <w:szCs w:val="30"/>
              <w:lang w:val="zh-CN"/>
            </w:rPr>
            <w:fldChar w:fldCharType="end"/>
          </w:r>
        </w:p>
      </w:sdtContent>
    </w:sdt>
    <w:p w14:paraId="294747FD">
      <w:pPr>
        <w:spacing w:line="600" w:lineRule="exact"/>
        <w:rPr>
          <w:rFonts w:ascii="宋体" w:hAnsi="宋体"/>
          <w:color w:val="0D0D0D" w:themeColor="text1" w:themeTint="F2"/>
          <w:szCs w:val="32"/>
          <w14:textFill>
            <w14:solidFill>
              <w14:schemeClr w14:val="tx1">
                <w14:lumMod w14:val="95000"/>
                <w14:lumOff w14:val="5000"/>
              </w14:schemeClr>
            </w14:solidFill>
          </w14:textFill>
        </w:rPr>
        <w:sectPr>
          <w:headerReference r:id="rId3" w:type="default"/>
          <w:footerReference r:id="rId4" w:type="default"/>
          <w:pgSz w:w="11906" w:h="16838"/>
          <w:pgMar w:top="1417" w:right="1417" w:bottom="1417" w:left="1417" w:header="851" w:footer="992" w:gutter="0"/>
          <w:pgNumType w:start="1"/>
          <w:cols w:space="0" w:num="1"/>
          <w:docGrid w:type="linesAndChars" w:linePitch="600" w:charSpace="819"/>
        </w:sectPr>
      </w:pPr>
      <w:bookmarkStart w:id="0" w:name="_Toc50363869"/>
    </w:p>
    <w:p w14:paraId="190415E9">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本规划纲要根据党的十九届五中全会、广东省委十二届十二次全会、广东省委十二届十三次全会、云浮市委六届九次全会精神和</w:t>
      </w:r>
      <w:r>
        <w:rPr>
          <w:rFonts w:hint="eastAsia" w:ascii="宋体" w:hAnsi="宋体"/>
          <w:szCs w:val="32"/>
        </w:rPr>
        <w:t>区委十三届九次全会</w:t>
      </w:r>
      <w:r>
        <w:rPr>
          <w:rFonts w:hint="eastAsia" w:ascii="宋体" w:hAnsi="宋体"/>
          <w:color w:val="0D0D0D" w:themeColor="text1" w:themeTint="F2"/>
          <w:szCs w:val="32"/>
          <w14:textFill>
            <w14:solidFill>
              <w14:schemeClr w14:val="tx1">
                <w14:lumMod w14:val="95000"/>
                <w14:lumOff w14:val="5000"/>
              </w14:schemeClr>
            </w14:solidFill>
          </w14:textFill>
        </w:rPr>
        <w:t>《中共云浮市云城区委关于制定国民经济和社会发展第十四个五年规划和二</w:t>
      </w:r>
      <w:r>
        <w:rPr>
          <w:rFonts w:hint="eastAsia" w:ascii="微软雅黑" w:hAnsi="微软雅黑" w:eastAsia="微软雅黑" w:cs="微软雅黑"/>
          <w:color w:val="0D0D0D" w:themeColor="text1" w:themeTint="F2"/>
          <w:szCs w:val="32"/>
          <w14:textFill>
            <w14:solidFill>
              <w14:schemeClr w14:val="tx1">
                <w14:lumMod w14:val="95000"/>
                <w14:lumOff w14:val="5000"/>
              </w14:schemeClr>
            </w14:solidFill>
          </w14:textFill>
        </w:rPr>
        <w:t>〇</w:t>
      </w:r>
      <w:r>
        <w:rPr>
          <w:rFonts w:hint="eastAsia" w:ascii="宋体" w:hAnsi="宋体"/>
          <w:color w:val="0D0D0D" w:themeColor="text1" w:themeTint="F2"/>
          <w:szCs w:val="32"/>
          <w14:textFill>
            <w14:solidFill>
              <w14:schemeClr w14:val="tx1">
                <w14:lumMod w14:val="95000"/>
                <w14:lumOff w14:val="5000"/>
              </w14:schemeClr>
            </w14:solidFill>
          </w14:textFill>
        </w:rPr>
        <w:t>三五年远景目标的建议》编制，重点明确“十四五”时期（2021-2025）云城区经济社会发展的指导思想、基本原则、发展目标、重点任务和重大项目，并对二</w:t>
      </w:r>
      <w:r>
        <w:rPr>
          <w:rFonts w:hint="eastAsia" w:ascii="微软雅黑" w:hAnsi="微软雅黑" w:eastAsia="微软雅黑" w:cs="微软雅黑"/>
          <w:color w:val="0D0D0D" w:themeColor="text1" w:themeTint="F2"/>
          <w:szCs w:val="32"/>
          <w14:textFill>
            <w14:solidFill>
              <w14:schemeClr w14:val="tx1">
                <w14:lumMod w14:val="95000"/>
                <w14:lumOff w14:val="5000"/>
              </w14:schemeClr>
            </w14:solidFill>
          </w14:textFill>
        </w:rPr>
        <w:t>〇</w:t>
      </w:r>
      <w:r>
        <w:rPr>
          <w:rFonts w:hint="eastAsia" w:ascii="宋体" w:hAnsi="宋体"/>
          <w:color w:val="0D0D0D" w:themeColor="text1" w:themeTint="F2"/>
          <w:szCs w:val="32"/>
          <w14:textFill>
            <w14:solidFill>
              <w14:schemeClr w14:val="tx1">
                <w14:lumMod w14:val="95000"/>
                <w14:lumOff w14:val="5000"/>
              </w14:schemeClr>
            </w14:solidFill>
          </w14:textFill>
        </w:rPr>
        <w:t>三五年远景目标进行展望，是“十四五”时期云城区经济社会发展战略性、纲领性文件和综合性规划，是今后五年我区经济社会发展的宏伟蓝图和全区人民共同的行动纲领。</w:t>
      </w:r>
    </w:p>
    <w:p w14:paraId="3343EF3A">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14:paraId="0C73E8D2">
      <w:pPr>
        <w:pStyle w:val="4"/>
        <w:numPr>
          <w:ilvl w:val="0"/>
          <w:numId w:val="1"/>
        </w:numPr>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 w:name="_Toc12801"/>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发展基础与发展环境</w:t>
      </w:r>
      <w:bookmarkEnd w:id="1"/>
    </w:p>
    <w:p w14:paraId="5AF9DD72"/>
    <w:p w14:paraId="5B705D8A">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三五”（2016-2020）时期，在以习近平同志为核心的党中央坚强领导下，云城区委切实增强“四个意识”、坚定“四个自信”、做到“两个维护”，聚焦广东“四个走在全国前列”、当好“两个重要窗口”和云浮“打造粤北生态建设发展新高地、推动乡村振兴走在全省前列”，团结带领全区党员干部群众深入贯彻落实习近平总书记对广东系列重要讲话和重要指示批示精神、省委“1+1+9”工作部署和市委“1+2+2”任务安排，扎实稳妥有效应对新冠肺炎疫情等重大风险挑战，加快推动经济社会高质量发展。</w:t>
      </w:r>
    </w:p>
    <w:p w14:paraId="13A3F4B6">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2" w:name="_Toc2379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发展基础</w:t>
      </w:r>
      <w:bookmarkEnd w:id="2"/>
    </w:p>
    <w:p w14:paraId="54D61B54">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3" w:name="_Toc53588059"/>
      <w:r>
        <w:rPr>
          <w:rFonts w:hint="eastAsia" w:ascii="宋体" w:hAnsi="宋体"/>
          <w:b/>
          <w:bCs/>
          <w:color w:val="0D0D0D" w:themeColor="text1" w:themeTint="F2"/>
          <w:szCs w:val="32"/>
          <w14:textFill>
            <w14:solidFill>
              <w14:schemeClr w14:val="tx1">
                <w14:lumMod w14:val="95000"/>
                <w14:lumOff w14:val="5000"/>
              </w14:schemeClr>
            </w14:solidFill>
          </w14:textFill>
        </w:rPr>
        <w:t>经济发展稳步向好</w:t>
      </w:r>
      <w:bookmarkEnd w:id="3"/>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十三五”期间，我区始终坚持创新、协调、绿色、开放、共享的发展理念，统筹推进“六稳”“六保”各项工作，全区经济社会保持平稳健康发展。地区生产总值由2015年的159.5亿元增至2020年219.19亿元，年均增长5%。</w:t>
      </w:r>
      <w:r>
        <w:rPr>
          <w:rFonts w:hint="eastAsia" w:ascii="宋体" w:hAnsi="宋体"/>
          <w:szCs w:val="32"/>
        </w:rPr>
        <w:t>预计人均GDP由2015年的45897元增至2020年56682元，年均增长2.8%。</w:t>
      </w:r>
      <w:r>
        <w:rPr>
          <w:rFonts w:hint="eastAsia" w:ascii="宋体" w:hAnsi="宋体"/>
          <w:color w:val="0D0D0D" w:themeColor="text1" w:themeTint="F2"/>
          <w:szCs w:val="32"/>
          <w14:textFill>
            <w14:solidFill>
              <w14:schemeClr w14:val="tx1">
                <w14:lumMod w14:val="95000"/>
                <w14:lumOff w14:val="5000"/>
              </w14:schemeClr>
            </w14:solidFill>
          </w14:textFill>
        </w:rPr>
        <w:t>社会消费品零售总额由</w:t>
      </w:r>
      <w:r>
        <w:rPr>
          <w:rFonts w:ascii="宋体" w:hAnsi="宋体"/>
          <w:color w:val="0D0D0D" w:themeColor="text1" w:themeTint="F2"/>
          <w:szCs w:val="32"/>
          <w14:textFill>
            <w14:solidFill>
              <w14:schemeClr w14:val="tx1">
                <w14:lumMod w14:val="95000"/>
                <w14:lumOff w14:val="5000"/>
              </w14:schemeClr>
            </w14:solidFill>
          </w14:textFill>
        </w:rPr>
        <w:t>2015</w:t>
      </w:r>
      <w:r>
        <w:rPr>
          <w:rFonts w:hint="eastAsia" w:ascii="宋体" w:hAnsi="宋体"/>
          <w:color w:val="0D0D0D" w:themeColor="text1" w:themeTint="F2"/>
          <w:szCs w:val="32"/>
          <w14:textFill>
            <w14:solidFill>
              <w14:schemeClr w14:val="tx1">
                <w14:lumMod w14:val="95000"/>
                <w14:lumOff w14:val="5000"/>
              </w14:schemeClr>
            </w14:solidFill>
          </w14:textFill>
        </w:rPr>
        <w:t>年的</w:t>
      </w:r>
      <w:r>
        <w:rPr>
          <w:rFonts w:ascii="宋体" w:hAnsi="宋体"/>
          <w:color w:val="0D0D0D" w:themeColor="text1" w:themeTint="F2"/>
          <w:szCs w:val="32"/>
          <w14:textFill>
            <w14:solidFill>
              <w14:schemeClr w14:val="tx1">
                <w14:lumMod w14:val="95000"/>
                <w14:lumOff w14:val="5000"/>
              </w14:schemeClr>
            </w14:solidFill>
          </w14:textFill>
        </w:rPr>
        <w:t>62.7</w:t>
      </w:r>
      <w:r>
        <w:rPr>
          <w:rFonts w:hint="eastAsia" w:ascii="宋体" w:hAnsi="宋体"/>
          <w:color w:val="0D0D0D" w:themeColor="text1" w:themeTint="F2"/>
          <w:szCs w:val="32"/>
          <w14:textFill>
            <w14:solidFill>
              <w14:schemeClr w14:val="tx1">
                <w14:lumMod w14:val="95000"/>
                <w14:lumOff w14:val="5000"/>
              </w14:schemeClr>
            </w14:solidFill>
          </w14:textFill>
        </w:rPr>
        <w:t>亿元增至</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年的105.01亿元，年均增长</w:t>
      </w:r>
      <w:r>
        <w:rPr>
          <w:rFonts w:ascii="宋体" w:hAnsi="宋体"/>
          <w:color w:val="0D0D0D" w:themeColor="text1" w:themeTint="F2"/>
          <w:szCs w:val="32"/>
          <w14:textFill>
            <w14:solidFill>
              <w14:schemeClr w14:val="tx1">
                <w14:lumMod w14:val="95000"/>
                <w14:lumOff w14:val="5000"/>
              </w14:schemeClr>
            </w14:solidFill>
          </w14:textFill>
        </w:rPr>
        <w:t>6.9%</w:t>
      </w:r>
      <w:r>
        <w:rPr>
          <w:rFonts w:hint="eastAsia" w:ascii="宋体" w:hAnsi="宋体"/>
          <w:color w:val="0D0D0D" w:themeColor="text1" w:themeTint="F2"/>
          <w:szCs w:val="32"/>
          <w14:textFill>
            <w14:solidFill>
              <w14:schemeClr w14:val="tx1">
                <w14:lumMod w14:val="95000"/>
                <w14:lumOff w14:val="5000"/>
              </w14:schemeClr>
            </w14:solidFill>
          </w14:textFill>
        </w:rPr>
        <w:t>。固定资产投资年均增长8.6</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。居民消费价格指数在合理区间。全体居民人均可支配收入由</w:t>
      </w:r>
      <w:r>
        <w:rPr>
          <w:rFonts w:ascii="宋体" w:hAnsi="宋体"/>
          <w:color w:val="0D0D0D" w:themeColor="text1" w:themeTint="F2"/>
          <w:szCs w:val="32"/>
          <w14:textFill>
            <w14:solidFill>
              <w14:schemeClr w14:val="tx1">
                <w14:lumMod w14:val="95000"/>
                <w14:lumOff w14:val="5000"/>
              </w14:schemeClr>
            </w14:solidFill>
          </w14:textFill>
        </w:rPr>
        <w:t>2015</w:t>
      </w:r>
      <w:r>
        <w:rPr>
          <w:rFonts w:hint="eastAsia" w:ascii="宋体" w:hAnsi="宋体"/>
          <w:color w:val="0D0D0D" w:themeColor="text1" w:themeTint="F2"/>
          <w:szCs w:val="32"/>
          <w14:textFill>
            <w14:solidFill>
              <w14:schemeClr w14:val="tx1">
                <w14:lumMod w14:val="95000"/>
                <w14:lumOff w14:val="5000"/>
              </w14:schemeClr>
            </w14:solidFill>
          </w14:textFill>
        </w:rPr>
        <w:t>年的</w:t>
      </w:r>
      <w:r>
        <w:rPr>
          <w:rFonts w:ascii="宋体" w:hAnsi="宋体"/>
          <w:color w:val="0D0D0D" w:themeColor="text1" w:themeTint="F2"/>
          <w:szCs w:val="32"/>
          <w14:textFill>
            <w14:solidFill>
              <w14:schemeClr w14:val="tx1">
                <w14:lumMod w14:val="95000"/>
                <w14:lumOff w14:val="5000"/>
              </w14:schemeClr>
            </w14:solidFill>
          </w14:textFill>
        </w:rPr>
        <w:t>19397.4</w:t>
      </w:r>
      <w:r>
        <w:rPr>
          <w:rFonts w:hint="eastAsia" w:ascii="宋体" w:hAnsi="宋体"/>
          <w:color w:val="0D0D0D" w:themeColor="text1" w:themeTint="F2"/>
          <w:szCs w:val="32"/>
          <w14:textFill>
            <w14:solidFill>
              <w14:schemeClr w14:val="tx1">
                <w14:lumMod w14:val="95000"/>
                <w14:lumOff w14:val="5000"/>
              </w14:schemeClr>
            </w14:solidFill>
          </w14:textFill>
        </w:rPr>
        <w:t>元增至</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年的26393元，年均增长</w:t>
      </w:r>
      <w:r>
        <w:rPr>
          <w:rFonts w:ascii="宋体" w:hAnsi="宋体"/>
          <w:color w:val="0D0D0D" w:themeColor="text1" w:themeTint="F2"/>
          <w:szCs w:val="32"/>
          <w14:textFill>
            <w14:solidFill>
              <w14:schemeClr w14:val="tx1">
                <w14:lumMod w14:val="95000"/>
                <w14:lumOff w14:val="5000"/>
              </w14:schemeClr>
            </w14:solidFill>
          </w14:textFill>
        </w:rPr>
        <w:t>6.4%</w:t>
      </w:r>
      <w:r>
        <w:rPr>
          <w:rFonts w:hint="eastAsia" w:ascii="宋体" w:hAnsi="宋体"/>
          <w:color w:val="0D0D0D" w:themeColor="text1" w:themeTint="F2"/>
          <w:szCs w:val="32"/>
          <w14:textFill>
            <w14:solidFill>
              <w14:schemeClr w14:val="tx1">
                <w14:lumMod w14:val="95000"/>
                <w14:lumOff w14:val="5000"/>
              </w14:schemeClr>
            </w14:solidFill>
          </w14:textFill>
        </w:rPr>
        <w:t>。</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年地方一般公共财政预算收入达到</w:t>
      </w:r>
      <w:r>
        <w:rPr>
          <w:rFonts w:ascii="宋体" w:hAnsi="宋体"/>
          <w:color w:val="0D0D0D" w:themeColor="text1" w:themeTint="F2"/>
          <w:szCs w:val="32"/>
          <w14:textFill>
            <w14:solidFill>
              <w14:schemeClr w14:val="tx1">
                <w14:lumMod w14:val="95000"/>
                <w14:lumOff w14:val="5000"/>
              </w14:schemeClr>
            </w14:solidFill>
          </w14:textFill>
        </w:rPr>
        <w:t>5.08</w:t>
      </w:r>
      <w:r>
        <w:rPr>
          <w:rFonts w:hint="eastAsia" w:ascii="宋体" w:hAnsi="宋体"/>
          <w:color w:val="0D0D0D" w:themeColor="text1" w:themeTint="F2"/>
          <w:szCs w:val="32"/>
          <w14:textFill>
            <w14:solidFill>
              <w14:schemeClr w14:val="tx1">
                <w14:lumMod w14:val="95000"/>
                <w14:lumOff w14:val="5000"/>
              </w14:schemeClr>
            </w14:solidFill>
          </w14:textFill>
        </w:rPr>
        <w:t>亿元，增速从</w:t>
      </w:r>
      <w:r>
        <w:rPr>
          <w:rFonts w:ascii="宋体" w:hAnsi="宋体"/>
          <w:color w:val="0D0D0D" w:themeColor="text1" w:themeTint="F2"/>
          <w:szCs w:val="32"/>
          <w14:textFill>
            <w14:solidFill>
              <w14:schemeClr w14:val="tx1">
                <w14:lumMod w14:val="95000"/>
                <w14:lumOff w14:val="5000"/>
              </w14:schemeClr>
            </w14:solidFill>
          </w14:textFill>
        </w:rPr>
        <w:t>2019</w:t>
      </w:r>
      <w:r>
        <w:rPr>
          <w:rFonts w:hint="eastAsia" w:ascii="宋体" w:hAnsi="宋体"/>
          <w:color w:val="0D0D0D" w:themeColor="text1" w:themeTint="F2"/>
          <w:szCs w:val="32"/>
          <w14:textFill>
            <w14:solidFill>
              <w14:schemeClr w14:val="tx1">
                <w14:lumMod w14:val="95000"/>
                <w14:lumOff w14:val="5000"/>
              </w14:schemeClr>
            </w14:solidFill>
          </w14:textFill>
        </w:rPr>
        <w:t>年开始实现由负转正。积极培育外贸新增长点，</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年外贸进出口总额28.23亿元人民币，增长28.8</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w:t>
      </w:r>
      <w:bookmarkStart w:id="4" w:name="_Toc53588060"/>
    </w:p>
    <w:p w14:paraId="48C95124">
      <w:pPr>
        <w:pStyle w:val="17"/>
        <w:adjustRightInd w:val="0"/>
        <w:snapToGrid w:val="0"/>
        <w:spacing w:after="0" w:line="600" w:lineRule="exact"/>
        <w:ind w:left="0" w:leftChars="0" w:firstLine="56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pacing w:val="-20"/>
          <w:szCs w:val="32"/>
          <w14:textFill>
            <w14:solidFill>
              <w14:schemeClr w14:val="tx1">
                <w14:lumMod w14:val="95000"/>
                <w14:lumOff w14:val="5000"/>
              </w14:schemeClr>
            </w14:solidFill>
          </w14:textFill>
        </w:rPr>
        <w:t>产业转型成效突出</w:t>
      </w:r>
      <w:bookmarkEnd w:id="4"/>
      <w:r>
        <w:rPr>
          <w:rFonts w:hint="eastAsia" w:ascii="宋体" w:hAnsi="宋体"/>
          <w:b/>
          <w:bCs/>
          <w:color w:val="0D0D0D" w:themeColor="text1" w:themeTint="F2"/>
          <w:spacing w:val="-20"/>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三次产业结构比由2015年的6.6:49.5:43.9调整为2020年的7.8:29.7:62.5，第三产业比重提高了18.6个百分点。金属智造、健康医药、现代物流等产业培育发展壮大，形成了金属智造科技产业园、健康医药产业园、安塘石材园区、广云现代物流产业园、现代农业产业园五大园区建设新格局。金属智造产业加快发展，金属智造科技产业园获省批复，引进了金晟兰优特钢、东海精品钢、万洋众创城等一批大项目、好项目</w:t>
      </w:r>
      <w:r>
        <w:rPr>
          <w:rFonts w:hint="eastAsia" w:ascii="宋体" w:hAnsi="宋体"/>
          <w:szCs w:val="32"/>
        </w:rPr>
        <w:t>。</w:t>
      </w:r>
      <w:r>
        <w:rPr>
          <w:rFonts w:hint="eastAsia" w:ascii="宋体" w:hAnsi="宋体"/>
          <w:color w:val="0D0D0D" w:themeColor="text1" w:themeTint="F2"/>
          <w:szCs w:val="32"/>
          <w14:textFill>
            <w14:solidFill>
              <w14:schemeClr w14:val="tx1">
                <w14:lumMod w14:val="95000"/>
                <w14:lumOff w14:val="5000"/>
              </w14:schemeClr>
            </w14:solidFill>
          </w14:textFill>
        </w:rPr>
        <w:t>健康医药产业集聚发展，健康产业园获批省市共建生物医药产业培育园区，颂春、衍生项目实现投产上规，新金山、麦燕、春华、玖为等项目基本建成，中智、信基等一批项目正加快建设。石材产业转型发展，在库规上石材企业</w:t>
      </w:r>
      <w:r>
        <w:rPr>
          <w:rFonts w:ascii="宋体" w:hAnsi="宋体"/>
          <w:color w:val="0D0D0D" w:themeColor="text1" w:themeTint="F2"/>
          <w:szCs w:val="32"/>
          <w14:textFill>
            <w14:solidFill>
              <w14:schemeClr w14:val="tx1">
                <w14:lumMod w14:val="95000"/>
                <w14:lumOff w14:val="5000"/>
              </w14:schemeClr>
            </w14:solidFill>
          </w14:textFill>
        </w:rPr>
        <w:t>46</w:t>
      </w:r>
      <w:r>
        <w:rPr>
          <w:rFonts w:hint="eastAsia" w:ascii="宋体" w:hAnsi="宋体"/>
          <w:color w:val="0D0D0D" w:themeColor="text1" w:themeTint="F2"/>
          <w:szCs w:val="32"/>
          <w14:textFill>
            <w14:solidFill>
              <w14:schemeClr w14:val="tx1">
                <w14:lumMod w14:val="95000"/>
                <w14:lumOff w14:val="5000"/>
              </w14:schemeClr>
            </w14:solidFill>
          </w14:textFill>
        </w:rPr>
        <w:t>家。成功举办石展会和石文化节。扶持一批石材企业开展智能装备应用和信息化平台建设，</w:t>
      </w:r>
      <w:r>
        <w:rPr>
          <w:rFonts w:hint="eastAsia" w:ascii="宋体" w:hAnsi="宋体"/>
          <w:szCs w:val="32"/>
        </w:rPr>
        <w:t>获评为国家外贸转型升级基地。</w:t>
      </w:r>
      <w:r>
        <w:rPr>
          <w:rFonts w:hint="eastAsia" w:ascii="宋体" w:hAnsi="宋体"/>
          <w:color w:val="0D0D0D" w:themeColor="text1" w:themeTint="F2"/>
          <w:szCs w:val="32"/>
          <w14:textFill>
            <w14:solidFill>
              <w14:schemeClr w14:val="tx1">
                <w14:lumMod w14:val="95000"/>
                <w14:lumOff w14:val="5000"/>
              </w14:schemeClr>
            </w14:solidFill>
          </w14:textFill>
        </w:rPr>
        <w:t>南药和花卉产业发展壮大，南药种植面积</w:t>
      </w:r>
      <w:r>
        <w:rPr>
          <w:rFonts w:ascii="宋体" w:hAnsi="宋体"/>
          <w:color w:val="0D0D0D" w:themeColor="text1" w:themeTint="F2"/>
          <w:szCs w:val="32"/>
          <w14:textFill>
            <w14:solidFill>
              <w14:schemeClr w14:val="tx1">
                <w14:lumMod w14:val="95000"/>
                <w14:lumOff w14:val="5000"/>
              </w14:schemeClr>
            </w14:solidFill>
          </w14:textFill>
        </w:rPr>
        <w:t>10.53</w:t>
      </w:r>
      <w:r>
        <w:rPr>
          <w:rFonts w:hint="eastAsia" w:ascii="宋体" w:hAnsi="宋体"/>
          <w:color w:val="0D0D0D" w:themeColor="text1" w:themeTint="F2"/>
          <w:szCs w:val="32"/>
          <w14:textFill>
            <w14:solidFill>
              <w14:schemeClr w14:val="tx1">
                <w14:lumMod w14:val="95000"/>
                <w14:lumOff w14:val="5000"/>
              </w14:schemeClr>
            </w14:solidFill>
          </w14:textFill>
        </w:rPr>
        <w:t>万亩，建成南药种植基地</w:t>
      </w:r>
      <w:r>
        <w:rPr>
          <w:rFonts w:ascii="宋体" w:hAnsi="宋体"/>
          <w:color w:val="0D0D0D" w:themeColor="text1" w:themeTint="F2"/>
          <w:szCs w:val="32"/>
          <w14:textFill>
            <w14:solidFill>
              <w14:schemeClr w14:val="tx1">
                <w14:lumMod w14:val="95000"/>
                <w14:lumOff w14:val="5000"/>
              </w14:schemeClr>
            </w14:solidFill>
          </w14:textFill>
        </w:rPr>
        <w:t>15</w:t>
      </w:r>
      <w:r>
        <w:rPr>
          <w:rFonts w:hint="eastAsia" w:ascii="宋体" w:hAnsi="宋体"/>
          <w:color w:val="0D0D0D" w:themeColor="text1" w:themeTint="F2"/>
          <w:szCs w:val="32"/>
          <w14:textFill>
            <w14:solidFill>
              <w14:schemeClr w14:val="tx1">
                <w14:lumMod w14:val="95000"/>
                <w14:lumOff w14:val="5000"/>
              </w14:schemeClr>
            </w14:solidFill>
          </w14:textFill>
        </w:rPr>
        <w:t>个、种子种苗繁育基地</w:t>
      </w:r>
      <w:r>
        <w:rPr>
          <w:rFonts w:ascii="宋体" w:hAnsi="宋体"/>
          <w:color w:val="0D0D0D" w:themeColor="text1" w:themeTint="F2"/>
          <w:szCs w:val="32"/>
          <w14:textFill>
            <w14:solidFill>
              <w14:schemeClr w14:val="tx1">
                <w14:lumMod w14:val="95000"/>
                <w14:lumOff w14:val="5000"/>
              </w14:schemeClr>
            </w14:solidFill>
          </w14:textFill>
        </w:rPr>
        <w:t>6</w:t>
      </w:r>
      <w:r>
        <w:rPr>
          <w:rFonts w:hint="eastAsia" w:ascii="宋体" w:hAnsi="宋体"/>
          <w:color w:val="0D0D0D" w:themeColor="text1" w:themeTint="F2"/>
          <w:szCs w:val="32"/>
          <w14:textFill>
            <w14:solidFill>
              <w14:schemeClr w14:val="tx1">
                <w14:lumMod w14:val="95000"/>
                <w14:lumOff w14:val="5000"/>
              </w14:schemeClr>
            </w14:solidFill>
          </w14:textFill>
        </w:rPr>
        <w:t>个，培育引进南药类企业</w:t>
      </w:r>
      <w:r>
        <w:rPr>
          <w:rFonts w:ascii="宋体" w:hAnsi="宋体"/>
          <w:color w:val="0D0D0D" w:themeColor="text1" w:themeTint="F2"/>
          <w:szCs w:val="32"/>
          <w14:textFill>
            <w14:solidFill>
              <w14:schemeClr w14:val="tx1">
                <w14:lumMod w14:val="95000"/>
                <w14:lumOff w14:val="5000"/>
              </w14:schemeClr>
            </w14:solidFill>
          </w14:textFill>
        </w:rPr>
        <w:t>30</w:t>
      </w:r>
      <w:r>
        <w:rPr>
          <w:rFonts w:hint="eastAsia" w:ascii="宋体" w:hAnsi="宋体"/>
          <w:color w:val="0D0D0D" w:themeColor="text1" w:themeTint="F2"/>
          <w:szCs w:val="32"/>
          <w14:textFill>
            <w14:solidFill>
              <w14:schemeClr w14:val="tx1">
                <w14:lumMod w14:val="95000"/>
                <w14:lumOff w14:val="5000"/>
              </w14:schemeClr>
            </w14:solidFill>
          </w14:textFill>
        </w:rPr>
        <w:t>家、花卉类企业</w:t>
      </w:r>
      <w:r>
        <w:rPr>
          <w:rFonts w:ascii="宋体" w:hAnsi="宋体"/>
          <w:color w:val="0D0D0D" w:themeColor="text1" w:themeTint="F2"/>
          <w:szCs w:val="32"/>
          <w14:textFill>
            <w14:solidFill>
              <w14:schemeClr w14:val="tx1">
                <w14:lumMod w14:val="95000"/>
                <w14:lumOff w14:val="5000"/>
              </w14:schemeClr>
            </w14:solidFill>
          </w14:textFill>
        </w:rPr>
        <w:t>21</w:t>
      </w:r>
      <w:r>
        <w:rPr>
          <w:rFonts w:hint="eastAsia" w:ascii="宋体" w:hAnsi="宋体"/>
          <w:color w:val="0D0D0D" w:themeColor="text1" w:themeTint="F2"/>
          <w:szCs w:val="32"/>
          <w14:textFill>
            <w14:solidFill>
              <w14:schemeClr w14:val="tx1">
                <w14:lumMod w14:val="95000"/>
                <w14:lumOff w14:val="5000"/>
              </w14:schemeClr>
            </w14:solidFill>
          </w14:textFill>
        </w:rPr>
        <w:t>家</w:t>
      </w:r>
      <w:r>
        <w:rPr>
          <w:rFonts w:hint="eastAsia" w:ascii="宋体" w:hAnsi="宋体"/>
          <w:color w:val="0000FF"/>
          <w:szCs w:val="32"/>
        </w:rPr>
        <w:t>。</w:t>
      </w:r>
      <w:r>
        <w:rPr>
          <w:rFonts w:hint="eastAsia" w:ascii="宋体" w:hAnsi="宋体"/>
          <w:color w:val="0D0D0D" w:themeColor="text1" w:themeTint="F2"/>
          <w:szCs w:val="32"/>
          <w14:textFill>
            <w14:solidFill>
              <w14:schemeClr w14:val="tx1">
                <w14:lumMod w14:val="95000"/>
                <w14:lumOff w14:val="5000"/>
              </w14:schemeClr>
            </w14:solidFill>
          </w14:textFill>
        </w:rPr>
        <w:t>全面完成省级现代南药产业园建设任务，</w:t>
      </w:r>
      <w:r>
        <w:rPr>
          <w:rFonts w:hint="eastAsia" w:ascii="宋体" w:hAnsi="宋体"/>
          <w:szCs w:val="32"/>
        </w:rPr>
        <w:t>获批创建国家现代农业产业园。</w:t>
      </w:r>
      <w:r>
        <w:rPr>
          <w:rFonts w:hint="eastAsia" w:ascii="宋体" w:hAnsi="宋体"/>
          <w:color w:val="0D0D0D" w:themeColor="text1" w:themeTint="F2"/>
          <w:szCs w:val="32"/>
          <w14:textFill>
            <w14:solidFill>
              <w14:schemeClr w14:val="tx1">
                <w14:lumMod w14:val="95000"/>
                <w14:lumOff w14:val="5000"/>
              </w14:schemeClr>
            </w14:solidFill>
          </w14:textFill>
        </w:rPr>
        <w:t>“云浮南乳花生”国家地理标志保护产品申报通过专家技术审查，云城牛大力入选全国名特优新农产品名录。全域旅游融合发展，</w:t>
      </w:r>
      <w:r>
        <w:rPr>
          <w:rFonts w:hint="eastAsia" w:ascii="宋体" w:hAnsi="宋体"/>
          <w:szCs w:val="32"/>
        </w:rPr>
        <w:t>腰古城头村入选省旅游文化特色村，云城区乡村生态康养之旅入选省精品旅游线路，大金山、蟠龙天湖景区基础配套设施进</w:t>
      </w:r>
      <w:r>
        <w:rPr>
          <w:rFonts w:hint="eastAsia" w:ascii="宋体" w:hAnsi="宋体"/>
          <w:color w:val="0D0D0D" w:themeColor="text1" w:themeTint="F2"/>
          <w:szCs w:val="32"/>
          <w14:textFill>
            <w14:solidFill>
              <w14:schemeClr w14:val="tx1">
                <w14:lumMod w14:val="95000"/>
                <w14:lumOff w14:val="5000"/>
              </w14:schemeClr>
            </w14:solidFill>
          </w14:textFill>
        </w:rPr>
        <w:t>一步完善。招商引资成果丰硕，“十三五”期间，我区连年超额完成市下达的招商引资工作任务。成功引进金晟兰优特钢、东海精品钢、信基产业城、吾悦广场、华弘学校、中铁十二局集团建筑构件分公司华南基地等一批超</w:t>
      </w:r>
      <w:r>
        <w:rPr>
          <w:rFonts w:ascii="宋体" w:hAnsi="宋体"/>
          <w:color w:val="0D0D0D" w:themeColor="text1" w:themeTint="F2"/>
          <w:szCs w:val="32"/>
          <w14:textFill>
            <w14:solidFill>
              <w14:schemeClr w14:val="tx1">
                <w14:lumMod w14:val="95000"/>
                <w14:lumOff w14:val="5000"/>
              </w14:schemeClr>
            </w14:solidFill>
          </w14:textFill>
        </w:rPr>
        <w:t>10</w:t>
      </w:r>
      <w:r>
        <w:rPr>
          <w:rFonts w:hint="eastAsia" w:ascii="宋体" w:hAnsi="宋体"/>
          <w:color w:val="0D0D0D" w:themeColor="text1" w:themeTint="F2"/>
          <w:szCs w:val="32"/>
          <w14:textFill>
            <w14:solidFill>
              <w14:schemeClr w14:val="tx1">
                <w14:lumMod w14:val="95000"/>
                <w14:lumOff w14:val="5000"/>
              </w14:schemeClr>
            </w14:solidFill>
          </w14:textFill>
        </w:rPr>
        <w:t>亿元项目，实现了招商引资规模和质量双突破。</w:t>
      </w:r>
    </w:p>
    <w:p w14:paraId="2A5EAF8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5" w:name="_Toc53588061"/>
      <w:r>
        <w:rPr>
          <w:rFonts w:hint="eastAsia" w:ascii="宋体" w:hAnsi="宋体"/>
          <w:b/>
          <w:bCs/>
          <w:color w:val="0D0D0D" w:themeColor="text1" w:themeTint="F2"/>
          <w:szCs w:val="32"/>
          <w14:textFill>
            <w14:solidFill>
              <w14:schemeClr w14:val="tx1">
                <w14:lumMod w14:val="95000"/>
                <w14:lumOff w14:val="5000"/>
              </w14:schemeClr>
            </w14:solidFill>
          </w14:textFill>
        </w:rPr>
        <w:t>科技创新迈出新步伐</w:t>
      </w:r>
      <w:bookmarkEnd w:id="5"/>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高新技术及科技型中小企业培育持续增长。全区高新企业12家，建立省级及以上创新创业研发平台10个。企业自主创新能力不断增强。“十三五”期间，全区共有技术改造项目备案</w:t>
      </w:r>
      <w:r>
        <w:rPr>
          <w:rFonts w:ascii="宋体" w:hAnsi="宋体"/>
          <w:color w:val="0D0D0D" w:themeColor="text1" w:themeTint="F2"/>
          <w:szCs w:val="32"/>
          <w14:textFill>
            <w14:solidFill>
              <w14:schemeClr w14:val="tx1">
                <w14:lumMod w14:val="95000"/>
                <w14:lumOff w14:val="5000"/>
              </w14:schemeClr>
            </w14:solidFill>
          </w14:textFill>
        </w:rPr>
        <w:t>40</w:t>
      </w:r>
      <w:r>
        <w:rPr>
          <w:rFonts w:hint="eastAsia" w:ascii="宋体" w:hAnsi="宋体"/>
          <w:color w:val="0D0D0D" w:themeColor="text1" w:themeTint="F2"/>
          <w:szCs w:val="32"/>
          <w14:textFill>
            <w14:solidFill>
              <w14:schemeClr w14:val="tx1">
                <w14:lumMod w14:val="95000"/>
                <w14:lumOff w14:val="5000"/>
              </w14:schemeClr>
            </w14:solidFill>
          </w14:textFill>
        </w:rPr>
        <w:t>个，总投资</w:t>
      </w:r>
      <w:r>
        <w:rPr>
          <w:rFonts w:ascii="宋体" w:hAnsi="宋体"/>
          <w:color w:val="0D0D0D" w:themeColor="text1" w:themeTint="F2"/>
          <w:szCs w:val="32"/>
          <w14:textFill>
            <w14:solidFill>
              <w14:schemeClr w14:val="tx1">
                <w14:lumMod w14:val="95000"/>
                <w14:lumOff w14:val="5000"/>
              </w14:schemeClr>
            </w14:solidFill>
          </w14:textFill>
        </w:rPr>
        <w:t>18.13</w:t>
      </w:r>
      <w:r>
        <w:rPr>
          <w:rFonts w:hint="eastAsia" w:ascii="宋体" w:hAnsi="宋体"/>
          <w:color w:val="0D0D0D" w:themeColor="text1" w:themeTint="F2"/>
          <w:szCs w:val="32"/>
          <w14:textFill>
            <w14:solidFill>
              <w14:schemeClr w14:val="tx1">
                <w14:lumMod w14:val="95000"/>
                <w14:lumOff w14:val="5000"/>
              </w14:schemeClr>
            </w14:solidFill>
          </w14:textFill>
        </w:rPr>
        <w:t>亿元，实施技术改造</w:t>
      </w:r>
      <w:r>
        <w:rPr>
          <w:rFonts w:ascii="宋体" w:hAnsi="宋体"/>
          <w:color w:val="0D0D0D" w:themeColor="text1" w:themeTint="F2"/>
          <w:szCs w:val="32"/>
          <w14:textFill>
            <w14:solidFill>
              <w14:schemeClr w14:val="tx1">
                <w14:lumMod w14:val="95000"/>
                <w14:lumOff w14:val="5000"/>
              </w14:schemeClr>
            </w14:solidFill>
          </w14:textFill>
        </w:rPr>
        <w:t>10.02</w:t>
      </w:r>
      <w:r>
        <w:rPr>
          <w:rFonts w:hint="eastAsia" w:ascii="宋体" w:hAnsi="宋体"/>
          <w:color w:val="0D0D0D" w:themeColor="text1" w:themeTint="F2"/>
          <w:szCs w:val="32"/>
          <w14:textFill>
            <w14:solidFill>
              <w14:schemeClr w14:val="tx1">
                <w14:lumMod w14:val="95000"/>
                <w14:lumOff w14:val="5000"/>
              </w14:schemeClr>
            </w14:solidFill>
          </w14:textFill>
        </w:rPr>
        <w:t>亿元。科技创新载体不断壮大。加强产学研合作，共建创新平台，为产业提供科技支撑，成立中科石材创新中心、云浮市南药研究院和云浮市花卉产业技术研究院，</w:t>
      </w:r>
      <w:r>
        <w:rPr>
          <w:rFonts w:hint="eastAsia" w:ascii="宋体" w:hAnsi="宋体"/>
          <w:szCs w:val="32"/>
        </w:rPr>
        <w:t>南药、花卉产业园认定为省级农业科技园区。</w:t>
      </w:r>
      <w:r>
        <w:rPr>
          <w:rFonts w:hint="eastAsia" w:ascii="宋体" w:hAnsi="宋体"/>
          <w:color w:val="0D0D0D" w:themeColor="text1" w:themeTint="F2"/>
          <w:szCs w:val="32"/>
          <w14:textFill>
            <w14:solidFill>
              <w14:schemeClr w14:val="tx1">
                <w14:lumMod w14:val="95000"/>
                <w14:lumOff w14:val="5000"/>
              </w14:schemeClr>
            </w14:solidFill>
          </w14:textFill>
        </w:rPr>
        <w:t>在库规模以上企业共设立研发机构</w:t>
      </w:r>
      <w:r>
        <w:rPr>
          <w:rFonts w:ascii="宋体" w:hAnsi="宋体"/>
          <w:color w:val="0D0D0D" w:themeColor="text1" w:themeTint="F2"/>
          <w:szCs w:val="32"/>
          <w14:textFill>
            <w14:solidFill>
              <w14:schemeClr w14:val="tx1">
                <w14:lumMod w14:val="95000"/>
                <w14:lumOff w14:val="5000"/>
              </w14:schemeClr>
            </w14:solidFill>
          </w14:textFill>
        </w:rPr>
        <w:t>26</w:t>
      </w:r>
      <w:r>
        <w:rPr>
          <w:rFonts w:hint="eastAsia" w:ascii="宋体" w:hAnsi="宋体"/>
          <w:color w:val="0D0D0D" w:themeColor="text1" w:themeTint="F2"/>
          <w:szCs w:val="32"/>
          <w14:textFill>
            <w14:solidFill>
              <w14:schemeClr w14:val="tx1">
                <w14:lumMod w14:val="95000"/>
                <w14:lumOff w14:val="5000"/>
              </w14:schemeClr>
            </w14:solidFill>
          </w14:textFill>
        </w:rPr>
        <w:t>个，覆盖率达</w:t>
      </w:r>
      <w:r>
        <w:rPr>
          <w:rFonts w:ascii="宋体" w:hAnsi="宋体"/>
          <w:color w:val="0D0D0D" w:themeColor="text1" w:themeTint="F2"/>
          <w:szCs w:val="32"/>
          <w14:textFill>
            <w14:solidFill>
              <w14:schemeClr w14:val="tx1">
                <w14:lumMod w14:val="95000"/>
                <w14:lumOff w14:val="5000"/>
              </w14:schemeClr>
            </w14:solidFill>
          </w14:textFill>
        </w:rPr>
        <w:t>32%</w:t>
      </w:r>
      <w:r>
        <w:rPr>
          <w:rFonts w:hint="eastAsia" w:ascii="宋体" w:hAnsi="宋体"/>
          <w:color w:val="0D0D0D" w:themeColor="text1" w:themeTint="F2"/>
          <w:szCs w:val="32"/>
          <w14:textFill>
            <w14:solidFill>
              <w14:schemeClr w14:val="tx1">
                <w14:lumMod w14:val="95000"/>
                <w14:lumOff w14:val="5000"/>
              </w14:schemeClr>
            </w14:solidFill>
          </w14:textFill>
        </w:rPr>
        <w:t>以上。</w:t>
      </w:r>
    </w:p>
    <w:p w14:paraId="2AA2434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 w:name="_Toc53588062"/>
      <w:r>
        <w:rPr>
          <w:rFonts w:hint="eastAsia" w:ascii="宋体" w:hAnsi="宋体"/>
          <w:b/>
          <w:bCs/>
          <w:color w:val="0D0D0D" w:themeColor="text1" w:themeTint="F2"/>
          <w:szCs w:val="32"/>
          <w14:textFill>
            <w14:solidFill>
              <w14:schemeClr w14:val="tx1">
                <w14:lumMod w14:val="95000"/>
                <w14:lumOff w14:val="5000"/>
              </w14:schemeClr>
            </w14:solidFill>
          </w14:textFill>
        </w:rPr>
        <w:t>重点领域改革深入推进</w:t>
      </w:r>
      <w:bookmarkEnd w:id="6"/>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机构改革、行政审批、综合执法、商事登记、数字政府等重点领域改革深入推进，发展活力持续迸发。推行“三张清单”管理，承接市下放行政许可事项1192项，保留</w:t>
      </w:r>
      <w:r>
        <w:rPr>
          <w:rFonts w:ascii="宋体" w:hAnsi="宋体"/>
          <w:color w:val="0D0D0D" w:themeColor="text1" w:themeTint="F2"/>
          <w:szCs w:val="32"/>
          <w14:textFill>
            <w14:solidFill>
              <w14:schemeClr w14:val="tx1">
                <w14:lumMod w14:val="95000"/>
                <w14:lumOff w14:val="5000"/>
              </w14:schemeClr>
            </w14:solidFill>
          </w14:textFill>
        </w:rPr>
        <w:t>4</w:t>
      </w:r>
      <w:r>
        <w:rPr>
          <w:rFonts w:hint="eastAsia" w:ascii="宋体" w:hAnsi="宋体"/>
          <w:color w:val="0D0D0D" w:themeColor="text1" w:themeTint="F2"/>
          <w:szCs w:val="32"/>
          <w14:textFill>
            <w14:solidFill>
              <w14:schemeClr w14:val="tx1">
                <w14:lumMod w14:val="95000"/>
                <w14:lumOff w14:val="5000"/>
              </w14:schemeClr>
            </w14:solidFill>
          </w14:textFill>
        </w:rPr>
        <w:t>项，下放区级行政管理权限238项，简政放权措施落实得力。营商环境持续优化。坚持“向东向东再向东”发展路径，主动融入粤港澳大湾区、深圳先行示范区、珠三角核心区，获批建设金属智造科技产业园、省市共建生物医药产业园，腰古—思劳片区成为融湾发展重大平台。企业开办登记实现1个工作日内办结，市场主体总量增至3.58万户，增长74%。工程建设项目平均联审时间缩短至4个工作日。</w:t>
      </w:r>
      <w:r>
        <w:rPr>
          <w:rFonts w:hint="eastAsia" w:ascii="仿宋_GB2312"/>
          <w:bCs/>
        </w:rPr>
        <w:t>行政许可事项效能提速85.7%。</w:t>
      </w:r>
      <w:r>
        <w:rPr>
          <w:rFonts w:hint="eastAsia" w:ascii="仿宋_GB2312"/>
          <w:bCs/>
          <w:lang w:val="en"/>
        </w:rPr>
        <w:t>行政许可即办件占95%以上。</w:t>
      </w:r>
      <w:r>
        <w:rPr>
          <w:rFonts w:hint="eastAsia" w:ascii="宋体" w:hAnsi="宋体"/>
          <w:color w:val="0D0D0D" w:themeColor="text1" w:themeTint="F2"/>
          <w:szCs w:val="32"/>
          <w14:textFill>
            <w14:solidFill>
              <w14:schemeClr w14:val="tx1">
                <w14:lumMod w14:val="95000"/>
                <w14:lumOff w14:val="5000"/>
              </w14:schemeClr>
            </w14:solidFill>
          </w14:textFill>
        </w:rPr>
        <w:t>实体办税服务大厅实现全省通办。深化供给侧结构性改革。深入推进“三去一降一补”，完成上级下达的去产能、去库存、去杠杆任务。全面落实收费目录清单制度和收费公示制度，着重抓好各项涉企减税降费优惠政策的落实，“十三五”期间，为企业降费减税共</w:t>
      </w:r>
      <w:r>
        <w:rPr>
          <w:rFonts w:ascii="宋体" w:hAnsi="宋体"/>
          <w:color w:val="0D0D0D" w:themeColor="text1" w:themeTint="F2"/>
          <w:szCs w:val="32"/>
          <w14:textFill>
            <w14:solidFill>
              <w14:schemeClr w14:val="tx1">
                <w14:lumMod w14:val="95000"/>
                <w14:lumOff w14:val="5000"/>
              </w14:schemeClr>
            </w14:solidFill>
          </w14:textFill>
        </w:rPr>
        <w:t>33.52</w:t>
      </w:r>
      <w:r>
        <w:rPr>
          <w:rFonts w:hint="eastAsia" w:ascii="宋体" w:hAnsi="宋体"/>
          <w:color w:val="0D0D0D" w:themeColor="text1" w:themeTint="F2"/>
          <w:szCs w:val="32"/>
          <w14:textFill>
            <w14:solidFill>
              <w14:schemeClr w14:val="tx1">
                <w14:lumMod w14:val="95000"/>
                <w14:lumOff w14:val="5000"/>
              </w14:schemeClr>
            </w14:solidFill>
          </w14:textFill>
        </w:rPr>
        <w:t>亿元。农产品质量安全区创建工作通过省交叉检查，农村集体资产清产核资工作全面完成。农信社改制组建农商行。开展疫情数据共享和优化在线政务服务相结合工作。</w:t>
      </w:r>
    </w:p>
    <w:p w14:paraId="66ED701B">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7" w:name="_Toc53588063"/>
      <w:r>
        <w:rPr>
          <w:rFonts w:hint="eastAsia" w:ascii="宋体" w:hAnsi="宋体"/>
          <w:b/>
          <w:bCs/>
          <w:color w:val="0D0D0D" w:themeColor="text1" w:themeTint="F2"/>
          <w:szCs w:val="32"/>
          <w14:textFill>
            <w14:solidFill>
              <w14:schemeClr w14:val="tx1">
                <w14:lumMod w14:val="95000"/>
                <w14:lumOff w14:val="5000"/>
              </w14:schemeClr>
            </w14:solidFill>
          </w14:textFill>
        </w:rPr>
        <w:t>城市建设</w:t>
      </w:r>
      <w:bookmarkEnd w:id="7"/>
      <w:r>
        <w:rPr>
          <w:rFonts w:hint="eastAsia" w:ascii="宋体" w:hAnsi="宋体"/>
          <w:b/>
          <w:bCs/>
          <w:color w:val="0D0D0D" w:themeColor="text1" w:themeTint="F2"/>
          <w:szCs w:val="32"/>
          <w14:textFill>
            <w14:solidFill>
              <w14:schemeClr w14:val="tx1">
                <w14:lumMod w14:val="95000"/>
                <w14:lumOff w14:val="5000"/>
              </w14:schemeClr>
            </w14:solidFill>
          </w14:textFill>
        </w:rPr>
        <w:t>展现新面貌。</w:t>
      </w:r>
      <w:r>
        <w:rPr>
          <w:rFonts w:hint="eastAsia" w:ascii="宋体" w:hAnsi="宋体"/>
          <w:color w:val="0D0D0D" w:themeColor="text1" w:themeTint="F2"/>
          <w:kern w:val="0"/>
          <w:szCs w:val="32"/>
          <w14:textFill>
            <w14:solidFill>
              <w14:schemeClr w14:val="tx1">
                <w14:lumMod w14:val="95000"/>
                <w14:lumOff w14:val="5000"/>
              </w14:schemeClr>
            </w14:solidFill>
          </w14:textFill>
        </w:rPr>
        <w:t>基础设施建设不断完善。江罗高速云城段、汕湛高速云城段建成通车、打通浩林西路、东方路等断头路10条，升级改造市政道路28公里。城乡客运公交、公共停车位等配套设施更加完善，</w:t>
      </w:r>
      <w:r>
        <w:rPr>
          <w:rFonts w:hint="eastAsia" w:ascii="宋体" w:hAnsi="宋体"/>
          <w:kern w:val="0"/>
          <w:szCs w:val="32"/>
        </w:rPr>
        <w:t>新改建国道、省道和农村公路185公里。</w:t>
      </w:r>
      <w:r>
        <w:rPr>
          <w:rFonts w:hint="eastAsia" w:ascii="宋体" w:hAnsi="宋体"/>
          <w:color w:val="0D0D0D" w:themeColor="text1" w:themeTint="F2"/>
          <w:kern w:val="0"/>
          <w:szCs w:val="32"/>
          <w14:textFill>
            <w14:solidFill>
              <w14:schemeClr w14:val="tx1">
                <w14:lumMod w14:val="95000"/>
                <w14:lumOff w14:val="5000"/>
              </w14:schemeClr>
            </w14:solidFill>
          </w14:textFill>
        </w:rPr>
        <w:t>城区地下综合管廊、信息基础设施等工程不断推进，完成</w:t>
      </w:r>
      <w:r>
        <w:rPr>
          <w:rFonts w:ascii="宋体" w:hAnsi="宋体"/>
          <w:color w:val="0D0D0D" w:themeColor="text1" w:themeTint="F2"/>
          <w:kern w:val="0"/>
          <w:szCs w:val="32"/>
          <w14:textFill>
            <w14:solidFill>
              <w14:schemeClr w14:val="tx1">
                <w14:lumMod w14:val="95000"/>
                <w14:lumOff w14:val="5000"/>
              </w14:schemeClr>
            </w14:solidFill>
          </w14:textFill>
        </w:rPr>
        <w:t>220</w:t>
      </w:r>
      <w:r>
        <w:rPr>
          <w:rFonts w:hint="eastAsia" w:ascii="宋体" w:hAnsi="宋体"/>
          <w:color w:val="0D0D0D" w:themeColor="text1" w:themeTint="F2"/>
          <w:kern w:val="0"/>
          <w:szCs w:val="32"/>
          <w14:textFill>
            <w14:solidFill>
              <w14:schemeClr w14:val="tx1">
                <w14:lumMod w14:val="95000"/>
                <w14:lumOff w14:val="5000"/>
              </w14:schemeClr>
            </w14:solidFill>
          </w14:textFill>
        </w:rPr>
        <w:t>千伏变电站、腰古电网改造和一批配电网项目建设，电力供应、网络通信等服务保障能力得到加强。城市品位不断提升。建成蟠龙天湖景区、沙地公园等一批休闲公园和新世纪、益华城市综合体。丰收颂春廊桥、金华廊桥、云浮石材百里长廊升级改造、中心城区主干道路智慧停车泊位和南山河</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一河两岸</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灯光艺术亮化工程全面完成，城区美化、绿化、亮化进一步提升。持续开展城区市容环境及</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六乱</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现象整治，城市管理不断加强，成功创建</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国家卫生城市</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，取得文明城市提名资格，中心城区首位度不断提升。</w:t>
      </w:r>
    </w:p>
    <w:p w14:paraId="46FDE6B8">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8" w:name="_Toc53588064"/>
      <w:r>
        <w:rPr>
          <w:rFonts w:hint="eastAsia" w:ascii="宋体" w:hAnsi="宋体"/>
          <w:b/>
          <w:bCs/>
          <w:color w:val="0D0D0D" w:themeColor="text1" w:themeTint="F2"/>
          <w:szCs w:val="32"/>
          <w14:textFill>
            <w14:solidFill>
              <w14:schemeClr w14:val="tx1">
                <w14:lumMod w14:val="95000"/>
                <w14:lumOff w14:val="5000"/>
              </w14:schemeClr>
            </w14:solidFill>
          </w14:textFill>
        </w:rPr>
        <w:t>乡村振兴加快实施</w:t>
      </w:r>
      <w:bookmarkEnd w:id="8"/>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农业产业加快发展，云城区现代农业产业园获批创建国家级现代农业产业园。积极推进农业产业化经营模式创新、特色种植基地建设和“精品、名牌”战略，发展各级农业龙头企业</w:t>
      </w:r>
      <w:r>
        <w:rPr>
          <w:rFonts w:ascii="宋体" w:hAnsi="宋体"/>
          <w:color w:val="0D0D0D" w:themeColor="text1" w:themeTint="F2"/>
          <w:kern w:val="0"/>
          <w:szCs w:val="32"/>
          <w14:textFill>
            <w14:solidFill>
              <w14:schemeClr w14:val="tx1">
                <w14:lumMod w14:val="95000"/>
                <w14:lumOff w14:val="5000"/>
              </w14:schemeClr>
            </w14:solidFill>
          </w14:textFill>
        </w:rPr>
        <w:t>53</w:t>
      </w:r>
      <w:r>
        <w:rPr>
          <w:rFonts w:hint="eastAsia" w:ascii="宋体" w:hAnsi="宋体"/>
          <w:color w:val="0D0D0D" w:themeColor="text1" w:themeTint="F2"/>
          <w:kern w:val="0"/>
          <w:szCs w:val="32"/>
          <w14:textFill>
            <w14:solidFill>
              <w14:schemeClr w14:val="tx1">
                <w14:lumMod w14:val="95000"/>
                <w14:lumOff w14:val="5000"/>
              </w14:schemeClr>
            </w14:solidFill>
          </w14:textFill>
        </w:rPr>
        <w:t>家（其中省级农业龙头企业</w:t>
      </w:r>
      <w:r>
        <w:rPr>
          <w:rFonts w:ascii="宋体" w:hAnsi="宋体"/>
          <w:color w:val="0D0D0D" w:themeColor="text1" w:themeTint="F2"/>
          <w:kern w:val="0"/>
          <w:szCs w:val="32"/>
          <w14:textFill>
            <w14:solidFill>
              <w14:schemeClr w14:val="tx1">
                <w14:lumMod w14:val="95000"/>
                <w14:lumOff w14:val="5000"/>
              </w14:schemeClr>
            </w14:solidFill>
          </w14:textFill>
        </w:rPr>
        <w:t>4</w:t>
      </w:r>
      <w:r>
        <w:rPr>
          <w:rFonts w:hint="eastAsia" w:ascii="宋体" w:hAnsi="宋体"/>
          <w:color w:val="0D0D0D" w:themeColor="text1" w:themeTint="F2"/>
          <w:kern w:val="0"/>
          <w:szCs w:val="32"/>
          <w14:textFill>
            <w14:solidFill>
              <w14:schemeClr w14:val="tx1">
                <w14:lumMod w14:val="95000"/>
                <w14:lumOff w14:val="5000"/>
              </w14:schemeClr>
            </w14:solidFill>
          </w14:textFill>
        </w:rPr>
        <w:t>家），农民专业合作组织</w:t>
      </w:r>
      <w:r>
        <w:rPr>
          <w:rFonts w:ascii="宋体" w:hAnsi="宋体"/>
          <w:color w:val="0D0D0D" w:themeColor="text1" w:themeTint="F2"/>
          <w:kern w:val="0"/>
          <w:szCs w:val="32"/>
          <w14:textFill>
            <w14:solidFill>
              <w14:schemeClr w14:val="tx1">
                <w14:lumMod w14:val="95000"/>
                <w14:lumOff w14:val="5000"/>
              </w14:schemeClr>
            </w14:solidFill>
          </w14:textFill>
        </w:rPr>
        <w:t>218</w:t>
      </w:r>
      <w:r>
        <w:rPr>
          <w:rFonts w:hint="eastAsia" w:ascii="宋体" w:hAnsi="宋体"/>
          <w:color w:val="0D0D0D" w:themeColor="text1" w:themeTint="F2"/>
          <w:kern w:val="0"/>
          <w:szCs w:val="32"/>
          <w14:textFill>
            <w14:solidFill>
              <w14:schemeClr w14:val="tx1">
                <w14:lumMod w14:val="95000"/>
                <w14:lumOff w14:val="5000"/>
              </w14:schemeClr>
            </w14:solidFill>
          </w14:textFill>
        </w:rPr>
        <w:t>家，省、市级示范家庭农场</w:t>
      </w:r>
      <w:r>
        <w:rPr>
          <w:rFonts w:ascii="宋体" w:hAnsi="宋体"/>
          <w:color w:val="0D0D0D" w:themeColor="text1" w:themeTint="F2"/>
          <w:kern w:val="0"/>
          <w:szCs w:val="32"/>
          <w14:textFill>
            <w14:solidFill>
              <w14:schemeClr w14:val="tx1">
                <w14:lumMod w14:val="95000"/>
                <w14:lumOff w14:val="5000"/>
              </w14:schemeClr>
            </w14:solidFill>
          </w14:textFill>
        </w:rPr>
        <w:t>23</w:t>
      </w:r>
      <w:r>
        <w:rPr>
          <w:rFonts w:hint="eastAsia" w:ascii="宋体" w:hAnsi="宋体"/>
          <w:color w:val="0D0D0D" w:themeColor="text1" w:themeTint="F2"/>
          <w:kern w:val="0"/>
          <w:szCs w:val="32"/>
          <w14:textFill>
            <w14:solidFill>
              <w14:schemeClr w14:val="tx1">
                <w14:lumMod w14:val="95000"/>
                <w14:lumOff w14:val="5000"/>
              </w14:schemeClr>
            </w14:solidFill>
          </w14:textFill>
        </w:rPr>
        <w:t>家。前锋镇被评为省级“一村一品，一镇一品”花卉专业镇”和第十批全国“一村一品”示范镇，</w:t>
      </w:r>
      <w:r>
        <w:rPr>
          <w:rFonts w:hint="eastAsia" w:ascii="宋体" w:hAnsi="宋体"/>
          <w:kern w:val="0"/>
          <w:szCs w:val="32"/>
        </w:rPr>
        <w:t>9个村被评为省级“一村一品、一镇一业”专业村，2个镇被评为市级“一村一品”示范镇，12个村被评为市级“一村一品”示范村。</w:t>
      </w:r>
      <w:r>
        <w:rPr>
          <w:rFonts w:hint="eastAsia" w:ascii="宋体" w:hAnsi="宋体"/>
          <w:color w:val="0D0D0D" w:themeColor="text1" w:themeTint="F2"/>
          <w:kern w:val="0"/>
          <w:szCs w:val="32"/>
          <w14:textFill>
            <w14:solidFill>
              <w14:schemeClr w14:val="tx1">
                <w14:lumMod w14:val="95000"/>
                <w14:lumOff w14:val="5000"/>
              </w14:schemeClr>
            </w14:solidFill>
          </w14:textFill>
        </w:rPr>
        <w:t>农村人居环境不断改善。</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三清三拆三整治</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基本完成，建成“四小园”1941个，积极推进</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厕所革命</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工作，卫生户厕普及率达</w:t>
      </w:r>
      <w:r>
        <w:rPr>
          <w:rFonts w:ascii="宋体" w:hAnsi="宋体"/>
          <w:color w:val="0D0D0D" w:themeColor="text1" w:themeTint="F2"/>
          <w:kern w:val="0"/>
          <w:szCs w:val="32"/>
          <w14:textFill>
            <w14:solidFill>
              <w14:schemeClr w14:val="tx1">
                <w14:lumMod w14:val="95000"/>
                <w14:lumOff w14:val="5000"/>
              </w14:schemeClr>
            </w14:solidFill>
          </w14:textFill>
        </w:rPr>
        <w:t>100%</w:t>
      </w:r>
      <w:r>
        <w:rPr>
          <w:rFonts w:hint="eastAsia" w:ascii="宋体" w:hAnsi="宋体"/>
          <w:color w:val="0D0D0D" w:themeColor="text1" w:themeTint="F2"/>
          <w:kern w:val="0"/>
          <w:szCs w:val="32"/>
          <w14:textFill>
            <w14:solidFill>
              <w14:schemeClr w14:val="tx1">
                <w14:lumMod w14:val="95000"/>
                <w14:lumOff w14:val="5000"/>
              </w14:schemeClr>
            </w14:solidFill>
          </w14:textFill>
        </w:rPr>
        <w:t>。扎实推进农村危房改造、农村生活垃圾处理、农村公路硬底化建设等工作，累计完成农村危房改造</w:t>
      </w:r>
      <w:r>
        <w:rPr>
          <w:rFonts w:ascii="宋体" w:hAnsi="宋体"/>
          <w:color w:val="0D0D0D" w:themeColor="text1" w:themeTint="F2"/>
          <w:kern w:val="0"/>
          <w:szCs w:val="32"/>
          <w14:textFill>
            <w14:solidFill>
              <w14:schemeClr w14:val="tx1">
                <w14:lumMod w14:val="95000"/>
                <w14:lumOff w14:val="5000"/>
              </w14:schemeClr>
            </w14:solidFill>
          </w14:textFill>
        </w:rPr>
        <w:t>765</w:t>
      </w:r>
      <w:r>
        <w:rPr>
          <w:rFonts w:hint="eastAsia" w:ascii="宋体" w:hAnsi="宋体"/>
          <w:color w:val="0D0D0D" w:themeColor="text1" w:themeTint="F2"/>
          <w:kern w:val="0"/>
          <w:szCs w:val="32"/>
          <w14:textFill>
            <w14:solidFill>
              <w14:schemeClr w14:val="tx1">
                <w14:lumMod w14:val="95000"/>
                <w14:lumOff w14:val="5000"/>
              </w14:schemeClr>
            </w14:solidFill>
          </w14:textFill>
        </w:rPr>
        <w:t>户，576个自然村达到干净整洁村标准。完成村村通自来水工程建设任务，基本形成覆盖农村的供水安全保障体系。成功打造河口双上村、腰古水东村、前锋常朗村等一批特色精品村。建设西线南药养生健康之旅乡村风光带、东线红色美丽乡村风光带。</w:t>
      </w:r>
    </w:p>
    <w:p w14:paraId="760B1371">
      <w:pPr>
        <w:pStyle w:val="17"/>
        <w:adjustRightInd w:val="0"/>
        <w:snapToGrid w:val="0"/>
        <w:spacing w:after="0" w:line="600" w:lineRule="exact"/>
        <w:ind w:left="0" w:leftChars="0" w:firstLine="643"/>
        <w:rPr>
          <w:rFonts w:ascii="宋体" w:hAnsi="宋体"/>
          <w:color w:val="FF0000"/>
          <w:szCs w:val="32"/>
        </w:rPr>
      </w:pPr>
      <w:r>
        <w:rPr>
          <w:rFonts w:hint="eastAsia" w:ascii="宋体" w:hAnsi="宋体"/>
          <w:b/>
          <w:bCs/>
          <w:szCs w:val="32"/>
        </w:rPr>
        <w:t>精准扶贫有序进行。</w:t>
      </w:r>
      <w:r>
        <w:rPr>
          <w:rFonts w:hint="eastAsia" w:ascii="宋体" w:hAnsi="宋体"/>
          <w:kern w:val="0"/>
          <w:szCs w:val="32"/>
        </w:rPr>
        <w:t>稳定实现“两不愁三保障”，全区建档立卡贫困人口</w:t>
      </w:r>
      <w:r>
        <w:rPr>
          <w:rFonts w:ascii="宋体" w:hAnsi="宋体"/>
          <w:kern w:val="0"/>
          <w:szCs w:val="32"/>
        </w:rPr>
        <w:t>8102</w:t>
      </w:r>
      <w:r>
        <w:rPr>
          <w:rFonts w:hint="eastAsia" w:ascii="宋体" w:hAnsi="宋体"/>
          <w:kern w:val="0"/>
          <w:szCs w:val="32"/>
        </w:rPr>
        <w:t>人全部脱贫，</w:t>
      </w:r>
      <w:r>
        <w:rPr>
          <w:rFonts w:ascii="宋体" w:hAnsi="宋体"/>
          <w:kern w:val="0"/>
          <w:szCs w:val="32"/>
        </w:rPr>
        <w:t>10</w:t>
      </w:r>
      <w:r>
        <w:rPr>
          <w:rFonts w:hint="eastAsia" w:ascii="宋体" w:hAnsi="宋体"/>
          <w:kern w:val="0"/>
          <w:szCs w:val="32"/>
        </w:rPr>
        <w:t>个省定贫困村全部出列，有劳动力贫困户家庭人均可支配收入达到</w:t>
      </w:r>
      <w:r>
        <w:rPr>
          <w:rFonts w:ascii="宋体" w:hAnsi="宋体"/>
          <w:kern w:val="0"/>
          <w:szCs w:val="32"/>
        </w:rPr>
        <w:t>1</w:t>
      </w:r>
      <w:r>
        <w:rPr>
          <w:rFonts w:hint="eastAsia" w:ascii="宋体" w:hAnsi="宋体"/>
          <w:kern w:val="0"/>
          <w:szCs w:val="32"/>
        </w:rPr>
        <w:t>.</w:t>
      </w:r>
      <w:r>
        <w:rPr>
          <w:rFonts w:ascii="宋体" w:hAnsi="宋体"/>
          <w:kern w:val="0"/>
          <w:szCs w:val="32"/>
        </w:rPr>
        <w:t>58</w:t>
      </w:r>
      <w:r>
        <w:rPr>
          <w:rFonts w:hint="eastAsia" w:ascii="宋体" w:hAnsi="宋体"/>
          <w:kern w:val="0"/>
          <w:szCs w:val="32"/>
        </w:rPr>
        <w:t>万元，实现稳定脱贫的目标。重点发展南药、发财树、蔬菜、剑花、笋竹、百香果、禽畜养殖等产业扶贫项目。扎实做好保障扶贫，实现建档立卡贫困人口参加城乡居民医疗保险、城乡居民社会养老保险参保和领取待遇率</w:t>
      </w:r>
      <w:r>
        <w:rPr>
          <w:rFonts w:ascii="宋体" w:hAnsi="宋体"/>
          <w:kern w:val="0"/>
          <w:szCs w:val="32"/>
        </w:rPr>
        <w:t>100%</w:t>
      </w:r>
      <w:r>
        <w:rPr>
          <w:rFonts w:hint="eastAsia" w:ascii="宋体" w:hAnsi="宋体"/>
          <w:kern w:val="0"/>
          <w:szCs w:val="32"/>
        </w:rPr>
        <w:t>；应保</w:t>
      </w:r>
      <w:r>
        <w:rPr>
          <w:rFonts w:ascii="宋体" w:hAnsi="宋体"/>
          <w:kern w:val="0"/>
          <w:szCs w:val="32"/>
        </w:rPr>
        <w:t>4398</w:t>
      </w:r>
      <w:r>
        <w:rPr>
          <w:rFonts w:hint="eastAsia" w:ascii="宋体" w:hAnsi="宋体"/>
          <w:kern w:val="0"/>
          <w:szCs w:val="32"/>
        </w:rPr>
        <w:t>人已全部落实最低生活保障。扎实做好金融扶贫，共向</w:t>
      </w:r>
      <w:r>
        <w:rPr>
          <w:rFonts w:ascii="宋体" w:hAnsi="宋体"/>
          <w:kern w:val="0"/>
          <w:szCs w:val="32"/>
        </w:rPr>
        <w:t>211</w:t>
      </w:r>
      <w:r>
        <w:rPr>
          <w:rFonts w:hint="eastAsia" w:ascii="宋体" w:hAnsi="宋体"/>
          <w:kern w:val="0"/>
          <w:szCs w:val="32"/>
        </w:rPr>
        <w:t>户贫困户发放</w:t>
      </w:r>
      <w:r>
        <w:rPr>
          <w:rFonts w:ascii="宋体" w:hAnsi="宋体"/>
          <w:kern w:val="0"/>
          <w:szCs w:val="32"/>
        </w:rPr>
        <w:t>558.94</w:t>
      </w:r>
      <w:r>
        <w:rPr>
          <w:rFonts w:hint="eastAsia" w:ascii="宋体" w:hAnsi="宋体"/>
          <w:kern w:val="0"/>
          <w:szCs w:val="32"/>
        </w:rPr>
        <w:t>万元小额免息贷款。积极实施就业扶贫，全区有劳力贫困人口</w:t>
      </w:r>
      <w:r>
        <w:rPr>
          <w:rFonts w:ascii="宋体" w:hAnsi="宋体"/>
          <w:kern w:val="0"/>
          <w:szCs w:val="32"/>
        </w:rPr>
        <w:t>2189</w:t>
      </w:r>
      <w:r>
        <w:rPr>
          <w:rFonts w:hint="eastAsia" w:ascii="宋体" w:hAnsi="宋体"/>
          <w:kern w:val="0"/>
          <w:szCs w:val="32"/>
        </w:rPr>
        <w:t>人，实现转移就业</w:t>
      </w:r>
      <w:r>
        <w:rPr>
          <w:rFonts w:ascii="宋体" w:hAnsi="宋体"/>
          <w:kern w:val="0"/>
          <w:szCs w:val="32"/>
        </w:rPr>
        <w:t>1971</w:t>
      </w:r>
      <w:r>
        <w:rPr>
          <w:rFonts w:hint="eastAsia" w:ascii="宋体" w:hAnsi="宋体"/>
          <w:kern w:val="0"/>
          <w:szCs w:val="32"/>
        </w:rPr>
        <w:t>人。积极探索电商扶贫，全区建有消费扶贫专区1个，扶贫产品销售门店12个、农超对接18个、电商服务站点12个，助力消费扶贫工作。</w:t>
      </w:r>
    </w:p>
    <w:p w14:paraId="7A702462">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9" w:name="_Toc53588066"/>
      <w:bookmarkStart w:id="10" w:name="_Hlk55315709"/>
      <w:r>
        <w:rPr>
          <w:rFonts w:hint="eastAsia" w:ascii="宋体" w:hAnsi="宋体"/>
          <w:b/>
          <w:bCs/>
          <w:color w:val="0D0D0D" w:themeColor="text1" w:themeTint="F2"/>
          <w:szCs w:val="32"/>
          <w14:textFill>
            <w14:solidFill>
              <w14:schemeClr w14:val="tx1">
                <w14:lumMod w14:val="95000"/>
                <w14:lumOff w14:val="5000"/>
              </w14:schemeClr>
            </w14:solidFill>
          </w14:textFill>
        </w:rPr>
        <w:t>民生福祉持续改善</w:t>
      </w:r>
      <w:bookmarkEnd w:id="9"/>
      <w:bookmarkEnd w:id="10"/>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“十三五”期间，累计投入74.5亿元用于发展民生事业。</w:t>
      </w:r>
      <w:r>
        <w:rPr>
          <w:rFonts w:hint="eastAsia" w:ascii="宋体" w:hAnsi="宋体"/>
          <w:color w:val="0D0D0D" w:themeColor="text1" w:themeTint="F2"/>
          <w:kern w:val="0"/>
          <w:szCs w:val="32"/>
          <w14:textFill>
            <w14:solidFill>
              <w14:schemeClr w14:val="tx1">
                <w14:lumMod w14:val="95000"/>
                <w14:lumOff w14:val="5000"/>
              </w14:schemeClr>
            </w14:solidFill>
          </w14:textFill>
        </w:rPr>
        <w:t>全面推进教育事业发展，成功创建全国义务教育发展基本均衡区、全国中小学校责任督学挂牌督导创新区、广东省教育强区、广东省推进教育现代化先进区。提升中心城区教育首位度建设项目顺利推进，“十三五”期间，全区新建或扩建学校6所，增加学位14400个，基本消除义务教育大班额。“校校通”、“班班通”“人人通”实现全区学校全覆盖。在全市率先实施积分入学政策，实现阳光招生、廉洁入学。教育教学质量稳步提升，教育水平不断提高，教育大局平安和谐稳定，教育服务经济社会发展的能力持续增强。医疗卫生服务不断完善。完成区人民医院、乡镇卫生院标准化、村级卫生站规范化、预防接种服务点改扩建等项目建设，区人民医院成功升级为“二甲</w:t>
      </w:r>
      <w:r>
        <w:rPr>
          <w:rFonts w:hint="eastAsia" w:ascii="宋体" w:hAnsi="宋体" w:eastAsia="方正仿宋_GBK"/>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医院。</w:t>
      </w:r>
      <w:r>
        <w:rPr>
          <w:rFonts w:hint="eastAsia" w:ascii="宋体" w:hAnsi="宋体" w:cs="仿宋_GB2312"/>
          <w:color w:val="0D0D0D" w:themeColor="text1" w:themeTint="F2"/>
          <w:kern w:val="0"/>
          <w:szCs w:val="32"/>
          <w14:textFill>
            <w14:solidFill>
              <w14:schemeClr w14:val="tx1">
                <w14:lumMod w14:val="95000"/>
                <w14:lumOff w14:val="5000"/>
              </w14:schemeClr>
            </w14:solidFill>
          </w14:textFill>
        </w:rPr>
        <w:t>区人民医院易地新建项目</w:t>
      </w:r>
      <w:r>
        <w:rPr>
          <w:rFonts w:hint="eastAsia" w:ascii="宋体" w:hAnsi="宋体"/>
          <w:color w:val="0D0D0D" w:themeColor="text1" w:themeTint="F2"/>
          <w:kern w:val="0"/>
          <w:szCs w:val="32"/>
          <w14:textFill>
            <w14:solidFill>
              <w14:schemeClr w14:val="tx1">
                <w14:lumMod w14:val="95000"/>
                <w14:lumOff w14:val="5000"/>
              </w14:schemeClr>
            </w14:solidFill>
          </w14:textFill>
        </w:rPr>
        <w:t>、腰古人民医院升级改造建设项目加快推进。持续深化医改，县级医院综合改革不断深化，获评为省级慢性病综合防控示范区。文化体育事业繁荣发展。改造升级一系列镇村公共文化基础设施，万人拥有公共文化设施室内面积达</w:t>
      </w:r>
      <w:r>
        <w:rPr>
          <w:rFonts w:ascii="宋体" w:hAnsi="宋体"/>
          <w:color w:val="0D0D0D" w:themeColor="text1" w:themeTint="F2"/>
          <w:kern w:val="0"/>
          <w:szCs w:val="32"/>
          <w14:textFill>
            <w14:solidFill>
              <w14:schemeClr w14:val="tx1">
                <w14:lumMod w14:val="95000"/>
                <w14:lumOff w14:val="5000"/>
              </w14:schemeClr>
            </w14:solidFill>
          </w14:textFill>
        </w:rPr>
        <w:t>2305</w:t>
      </w:r>
      <w:r>
        <w:rPr>
          <w:rFonts w:hint="eastAsia" w:ascii="宋体" w:hAnsi="宋体"/>
          <w:color w:val="0D0D0D" w:themeColor="text1" w:themeTint="F2"/>
          <w:kern w:val="0"/>
          <w:szCs w:val="32"/>
          <w14:textFill>
            <w14:solidFill>
              <w14:schemeClr w14:val="tx1">
                <w14:lumMod w14:val="95000"/>
                <w14:lumOff w14:val="5000"/>
              </w14:schemeClr>
            </w14:solidFill>
          </w14:textFill>
        </w:rPr>
        <w:t>平方米，行政村（社区）综合性文化服务中心实现全覆盖，全区公共文化服务设施全部实现免费开放。社会保障体系日趋完善。深入开展各类就业技能培训，就业局势保持稳定，城镇累计新增就业</w:t>
      </w:r>
      <w:r>
        <w:rPr>
          <w:rFonts w:hint="eastAsia" w:ascii="宋体" w:hAnsi="宋体"/>
          <w:kern w:val="0"/>
          <w:szCs w:val="32"/>
        </w:rPr>
        <w:t>17232</w:t>
      </w:r>
      <w:r>
        <w:rPr>
          <w:rFonts w:hint="eastAsia" w:ascii="宋体" w:hAnsi="宋体"/>
          <w:color w:val="0D0D0D" w:themeColor="text1" w:themeTint="F2"/>
          <w:kern w:val="0"/>
          <w:szCs w:val="32"/>
          <w14:textFill>
            <w14:solidFill>
              <w14:schemeClr w14:val="tx1">
                <w14:lumMod w14:val="95000"/>
                <w14:lumOff w14:val="5000"/>
              </w14:schemeClr>
            </w14:solidFill>
          </w14:textFill>
        </w:rPr>
        <w:t>人，城镇登记失业率控制在目范围内。居家养老服务不断完善，建成10间居家养老服务中心（站），南粤家政居家养老综合培训就业示范服务基地投入运营。稳步扩大城乡居民社会养老保险，基本医疗保险参保率稳定在</w:t>
      </w:r>
      <w:r>
        <w:rPr>
          <w:rFonts w:ascii="宋体" w:hAnsi="宋体"/>
          <w:color w:val="0D0D0D" w:themeColor="text1" w:themeTint="F2"/>
          <w:kern w:val="0"/>
          <w:szCs w:val="32"/>
          <w14:textFill>
            <w14:solidFill>
              <w14:schemeClr w14:val="tx1">
                <w14:lumMod w14:val="95000"/>
                <w14:lumOff w14:val="5000"/>
              </w14:schemeClr>
            </w14:solidFill>
          </w14:textFill>
        </w:rPr>
        <w:t>98%</w:t>
      </w:r>
      <w:r>
        <w:rPr>
          <w:rFonts w:hint="eastAsia" w:ascii="宋体" w:hAnsi="宋体"/>
          <w:color w:val="0D0D0D" w:themeColor="text1" w:themeTint="F2"/>
          <w:kern w:val="0"/>
          <w:szCs w:val="32"/>
          <w14:textFill>
            <w14:solidFill>
              <w14:schemeClr w14:val="tx1">
                <w14:lumMod w14:val="95000"/>
                <w14:lumOff w14:val="5000"/>
              </w14:schemeClr>
            </w14:solidFill>
          </w14:textFill>
        </w:rPr>
        <w:t>以上。社会救助水平逐步提升。</w:t>
      </w:r>
    </w:p>
    <w:p w14:paraId="4815C154">
      <w:pPr>
        <w:pStyle w:val="17"/>
        <w:adjustRightInd w:val="0"/>
        <w:snapToGrid w:val="0"/>
        <w:spacing w:after="0" w:line="600" w:lineRule="exact"/>
        <w:ind w:left="0" w:leftChars="0" w:firstLine="643"/>
        <w:rPr>
          <w:rFonts w:ascii="宋体" w:hAnsi="宋体"/>
          <w:b/>
          <w:bCs/>
          <w:color w:val="0D0D0D" w:themeColor="text1" w:themeTint="F2"/>
          <w:kern w:val="0"/>
          <w:szCs w:val="32"/>
          <w14:textFill>
            <w14:solidFill>
              <w14:schemeClr w14:val="tx1">
                <w14:lumMod w14:val="95000"/>
                <w14:lumOff w14:val="5000"/>
              </w14:schemeClr>
            </w14:solidFill>
          </w14:textFill>
        </w:rPr>
      </w:pPr>
      <w:bookmarkStart w:id="11" w:name="_Toc53588067"/>
      <w:bookmarkStart w:id="12" w:name="_Hlk55315815"/>
      <w:r>
        <w:rPr>
          <w:rFonts w:hint="eastAsia" w:ascii="宋体" w:hAnsi="宋体"/>
          <w:b/>
          <w:bCs/>
          <w:color w:val="0D0D0D" w:themeColor="text1" w:themeTint="F2"/>
          <w:szCs w:val="32"/>
          <w14:textFill>
            <w14:solidFill>
              <w14:schemeClr w14:val="tx1">
                <w14:lumMod w14:val="95000"/>
                <w14:lumOff w14:val="5000"/>
              </w14:schemeClr>
            </w14:solidFill>
          </w14:textFill>
        </w:rPr>
        <w:t>生态环境</w:t>
      </w:r>
      <w:bookmarkEnd w:id="11"/>
      <w:r>
        <w:rPr>
          <w:rFonts w:hint="eastAsia" w:ascii="宋体" w:hAnsi="宋体"/>
          <w:b/>
          <w:bCs/>
          <w:color w:val="0D0D0D" w:themeColor="text1" w:themeTint="F2"/>
          <w:szCs w:val="32"/>
          <w14:textFill>
            <w14:solidFill>
              <w14:schemeClr w14:val="tx1">
                <w14:lumMod w14:val="95000"/>
                <w14:lumOff w14:val="5000"/>
              </w14:schemeClr>
            </w14:solidFill>
          </w14:textFill>
        </w:rPr>
        <w:t>进一步优化</w:t>
      </w:r>
      <w:bookmarkEnd w:id="12"/>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大力开展绿化造林作业，累计完成碳汇林种植</w:t>
      </w:r>
      <w:r>
        <w:rPr>
          <w:rFonts w:ascii="宋体" w:hAnsi="宋体"/>
          <w:color w:val="0D0D0D" w:themeColor="text1" w:themeTint="F2"/>
          <w:kern w:val="0"/>
          <w:szCs w:val="32"/>
          <w14:textFill>
            <w14:solidFill>
              <w14:schemeClr w14:val="tx1">
                <w14:lumMod w14:val="95000"/>
                <w14:lumOff w14:val="5000"/>
              </w14:schemeClr>
            </w14:solidFill>
          </w14:textFill>
        </w:rPr>
        <w:t>21455</w:t>
      </w:r>
      <w:r>
        <w:rPr>
          <w:rFonts w:hint="eastAsia" w:ascii="宋体" w:hAnsi="宋体"/>
          <w:color w:val="0D0D0D" w:themeColor="text1" w:themeTint="F2"/>
          <w:kern w:val="0"/>
          <w:szCs w:val="32"/>
          <w14:textFill>
            <w14:solidFill>
              <w14:schemeClr w14:val="tx1">
                <w14:lumMod w14:val="95000"/>
                <w14:lumOff w14:val="5000"/>
              </w14:schemeClr>
            </w14:solidFill>
          </w14:textFill>
        </w:rPr>
        <w:t>亩，森林蓄积量达</w:t>
      </w:r>
      <w:r>
        <w:rPr>
          <w:rFonts w:ascii="宋体" w:hAnsi="宋体"/>
          <w:color w:val="0D0D0D" w:themeColor="text1" w:themeTint="F2"/>
          <w:kern w:val="0"/>
          <w:szCs w:val="32"/>
          <w14:textFill>
            <w14:solidFill>
              <w14:schemeClr w14:val="tx1">
                <w14:lumMod w14:val="95000"/>
                <w14:lumOff w14:val="5000"/>
              </w14:schemeClr>
            </w14:solidFill>
          </w14:textFill>
        </w:rPr>
        <w:t>271.03</w:t>
      </w:r>
      <w:r>
        <w:rPr>
          <w:rFonts w:hint="eastAsia" w:ascii="宋体" w:hAnsi="宋体"/>
          <w:color w:val="0D0D0D" w:themeColor="text1" w:themeTint="F2"/>
          <w:kern w:val="0"/>
          <w:szCs w:val="32"/>
          <w14:textFill>
            <w14:solidFill>
              <w14:schemeClr w14:val="tx1">
                <w14:lumMod w14:val="95000"/>
                <w14:lumOff w14:val="5000"/>
              </w14:schemeClr>
            </w14:solidFill>
          </w14:textFill>
        </w:rPr>
        <w:t>万立方米，森林覆盖率达</w:t>
      </w:r>
      <w:r>
        <w:rPr>
          <w:rFonts w:ascii="宋体" w:hAnsi="宋体"/>
          <w:color w:val="0D0D0D" w:themeColor="text1" w:themeTint="F2"/>
          <w:kern w:val="0"/>
          <w:szCs w:val="32"/>
          <w14:textFill>
            <w14:solidFill>
              <w14:schemeClr w14:val="tx1">
                <w14:lumMod w14:val="95000"/>
                <w14:lumOff w14:val="5000"/>
              </w14:schemeClr>
            </w14:solidFill>
          </w14:textFill>
        </w:rPr>
        <w:t>67.</w:t>
      </w:r>
      <w:r>
        <w:rPr>
          <w:rFonts w:hint="eastAsia" w:ascii="宋体" w:hAnsi="宋体"/>
          <w:color w:val="0D0D0D" w:themeColor="text1" w:themeTint="F2"/>
          <w:kern w:val="0"/>
          <w:szCs w:val="32"/>
          <w14:textFill>
            <w14:solidFill>
              <w14:schemeClr w14:val="tx1">
                <w14:lumMod w14:val="95000"/>
                <w14:lumOff w14:val="5000"/>
              </w14:schemeClr>
            </w14:solidFill>
          </w14:textFill>
        </w:rPr>
        <w:t>65</w:t>
      </w:r>
      <w:r>
        <w:rPr>
          <w:rFonts w:ascii="宋体" w:hAnsi="宋体"/>
          <w:color w:val="0D0D0D" w:themeColor="text1" w:themeTint="F2"/>
          <w:kern w:val="0"/>
          <w:szCs w:val="32"/>
          <w14:textFill>
            <w14:solidFill>
              <w14:schemeClr w14:val="tx1">
                <w14:lumMod w14:val="95000"/>
                <w14:lumOff w14:val="5000"/>
              </w14:schemeClr>
            </w14:solidFill>
          </w14:textFill>
        </w:rPr>
        <w:t>%</w:t>
      </w:r>
      <w:bookmarkStart w:id="13" w:name="_Hlk55315833"/>
      <w:r>
        <w:rPr>
          <w:rFonts w:hint="eastAsia" w:ascii="宋体" w:hAnsi="宋体"/>
          <w:color w:val="0D0D0D" w:themeColor="text1" w:themeTint="F2"/>
          <w:kern w:val="0"/>
          <w:szCs w:val="32"/>
          <w14:textFill>
            <w14:solidFill>
              <w14:schemeClr w14:val="tx1">
                <w14:lumMod w14:val="95000"/>
                <w14:lumOff w14:val="5000"/>
              </w14:schemeClr>
            </w14:solidFill>
          </w14:textFill>
        </w:rPr>
        <w:t>。成功创建国家园林城市，腰古雄强村、思劳降坑村被认定为国家森林乡村。</w:t>
      </w:r>
      <w:bookmarkEnd w:id="13"/>
      <w:r>
        <w:rPr>
          <w:rFonts w:hint="eastAsia" w:ascii="宋体" w:hAnsi="宋体"/>
          <w:color w:val="0D0D0D" w:themeColor="text1" w:themeTint="F2"/>
          <w:kern w:val="0"/>
          <w:szCs w:val="32"/>
          <w14:textFill>
            <w14:solidFill>
              <w14:schemeClr w14:val="tx1">
                <w14:lumMod w14:val="95000"/>
                <w14:lumOff w14:val="5000"/>
              </w14:schemeClr>
            </w14:solidFill>
          </w14:textFill>
        </w:rPr>
        <w:t>各项节能减排任务全部完成，城区空气质量优良率达</w:t>
      </w:r>
      <w:r>
        <w:rPr>
          <w:rFonts w:ascii="宋体" w:hAnsi="宋体"/>
          <w:color w:val="0D0D0D" w:themeColor="text1" w:themeTint="F2"/>
          <w:kern w:val="0"/>
          <w:szCs w:val="32"/>
          <w14:textFill>
            <w14:solidFill>
              <w14:schemeClr w14:val="tx1">
                <w14:lumMod w14:val="95000"/>
                <w14:lumOff w14:val="5000"/>
              </w14:schemeClr>
            </w14:solidFill>
          </w14:textFill>
        </w:rPr>
        <w:t>98.1%</w:t>
      </w:r>
      <w:r>
        <w:rPr>
          <w:rFonts w:hint="eastAsia" w:ascii="宋体" w:hAnsi="宋体"/>
          <w:color w:val="0D0D0D" w:themeColor="text1" w:themeTint="F2"/>
          <w:kern w:val="0"/>
          <w:szCs w:val="32"/>
          <w14:textFill>
            <w14:solidFill>
              <w14:schemeClr w14:val="tx1">
                <w14:lumMod w14:val="95000"/>
                <w14:lumOff w14:val="5000"/>
              </w14:schemeClr>
            </w14:solidFill>
          </w14:textFill>
        </w:rPr>
        <w:t>。全面落实“河长制”“湖长制”，深入开展</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清四乱</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五清</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专项行动，完成城市黑臭水体治理7段、中小河流治理170公里。新兴江松云、南山河永丰桥断面达到</w:t>
      </w:r>
      <w:r>
        <w:rPr>
          <w:rFonts w:hint="eastAsia" w:ascii="仿宋_GB2312" w:hAnsi="仿宋_GB2312" w:cs="仿宋_GB2312"/>
          <w:color w:val="0D0D0D" w:themeColor="text1" w:themeTint="F2"/>
          <w:kern w:val="0"/>
          <w:szCs w:val="32"/>
          <w14:textFill>
            <w14:solidFill>
              <w14:schemeClr w14:val="tx1">
                <w14:lumMod w14:val="95000"/>
                <w14:lumOff w14:val="5000"/>
              </w14:schemeClr>
            </w14:solidFill>
          </w14:textFill>
        </w:rPr>
        <w:t>Ⅲ类水考核标准</w:t>
      </w:r>
      <w:r>
        <w:rPr>
          <w:rFonts w:hint="eastAsia" w:ascii="宋体" w:hAnsi="宋体"/>
          <w:color w:val="0D0D0D" w:themeColor="text1" w:themeTint="F2"/>
          <w:kern w:val="0"/>
          <w:szCs w:val="32"/>
          <w14:textFill>
            <w14:solidFill>
              <w14:schemeClr w14:val="tx1">
                <w14:lumMod w14:val="95000"/>
                <w14:lumOff w14:val="5000"/>
              </w14:schemeClr>
            </w14:solidFill>
          </w14:textFill>
        </w:rPr>
        <w:t>，饮用水源水质</w:t>
      </w:r>
      <w:r>
        <w:rPr>
          <w:rFonts w:ascii="宋体" w:hAnsi="宋体"/>
          <w:color w:val="0D0D0D" w:themeColor="text1" w:themeTint="F2"/>
          <w:kern w:val="0"/>
          <w:szCs w:val="32"/>
          <w14:textFill>
            <w14:solidFill>
              <w14:schemeClr w14:val="tx1">
                <w14:lumMod w14:val="95000"/>
                <w14:lumOff w14:val="5000"/>
              </w14:schemeClr>
            </w14:solidFill>
          </w14:textFill>
        </w:rPr>
        <w:t>100%</w:t>
      </w:r>
      <w:r>
        <w:rPr>
          <w:rFonts w:hint="eastAsia" w:ascii="宋体" w:hAnsi="宋体"/>
          <w:color w:val="0D0D0D" w:themeColor="text1" w:themeTint="F2"/>
          <w:kern w:val="0"/>
          <w:szCs w:val="32"/>
          <w14:textFill>
            <w14:solidFill>
              <w14:schemeClr w14:val="tx1">
                <w14:lumMod w14:val="95000"/>
                <w14:lumOff w14:val="5000"/>
              </w14:schemeClr>
            </w14:solidFill>
          </w14:textFill>
        </w:rPr>
        <w:t>达标率。环保基础设施加快建设，建成安塘、南盛、前锋污水处理厂，铺设污水管网148公里，244条自然村完成污水外理设施建设。市城区生活污水处理率98.6</w:t>
      </w:r>
      <w:r>
        <w:rPr>
          <w:rFonts w:ascii="宋体" w:hAnsi="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olor w:val="0D0D0D" w:themeColor="text1" w:themeTint="F2"/>
          <w:kern w:val="0"/>
          <w:szCs w:val="32"/>
          <w14:textFill>
            <w14:solidFill>
              <w14:schemeClr w14:val="tx1">
                <w14:lumMod w14:val="95000"/>
                <w14:lumOff w14:val="5000"/>
              </w14:schemeClr>
            </w14:solidFill>
          </w14:textFill>
        </w:rPr>
        <w:t>。推动企业清洁生产和节能环保技术改造，节能减排各项指标控制在市下达目标范围内。开展重点行业企业用地土壤污染状况调查工作，深入推进化肥、农药使用零增长行动，加强农业面源污染防治，土壤污染得到有效防治，受污染耕地安全利用已完成目标任务（安全利用措施完成率）</w:t>
      </w:r>
      <w:r>
        <w:rPr>
          <w:rFonts w:ascii="宋体" w:hAnsi="宋体"/>
          <w:color w:val="0D0D0D" w:themeColor="text1" w:themeTint="F2"/>
          <w:kern w:val="0"/>
          <w:szCs w:val="32"/>
          <w14:textFill>
            <w14:solidFill>
              <w14:schemeClr w14:val="tx1">
                <w14:lumMod w14:val="95000"/>
                <w14:lumOff w14:val="5000"/>
              </w14:schemeClr>
            </w14:solidFill>
          </w14:textFill>
        </w:rPr>
        <w:t>100%</w:t>
      </w:r>
      <w:r>
        <w:rPr>
          <w:rFonts w:hint="eastAsia" w:ascii="宋体" w:hAnsi="宋体"/>
          <w:color w:val="0D0D0D" w:themeColor="text1" w:themeTint="F2"/>
          <w:kern w:val="0"/>
          <w:szCs w:val="32"/>
          <w14:textFill>
            <w14:solidFill>
              <w14:schemeClr w14:val="tx1">
                <w14:lumMod w14:val="95000"/>
                <w14:lumOff w14:val="5000"/>
              </w14:schemeClr>
            </w14:solidFill>
          </w14:textFill>
        </w:rPr>
        <w:t>。累计完成高标准农田建设2700亩、垦造水田310亩、拆旧复垦850亩，整治国土违法图斑308宗1615亩。</w:t>
      </w:r>
    </w:p>
    <w:p w14:paraId="4DB23F91">
      <w:pPr>
        <w:pStyle w:val="17"/>
        <w:adjustRightInd w:val="0"/>
        <w:snapToGrid w:val="0"/>
        <w:spacing w:after="0" w:line="600" w:lineRule="exact"/>
        <w:ind w:left="0" w:leftChars="0" w:firstLine="0" w:firstLineChars="0"/>
        <w:jc w:val="center"/>
        <w:rPr>
          <w:rFonts w:ascii="宋体" w:hAnsi="宋体"/>
          <w:b/>
          <w:bCs/>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表</w:t>
      </w:r>
      <w:r>
        <w:rPr>
          <w:rFonts w:ascii="宋体" w:hAnsi="宋体"/>
          <w:b/>
          <w:bCs/>
          <w:color w:val="0D0D0D" w:themeColor="text1" w:themeTint="F2"/>
          <w:kern w:val="0"/>
          <w:sz w:val="28"/>
          <w:szCs w:val="28"/>
          <w14:textFill>
            <w14:solidFill>
              <w14:schemeClr w14:val="tx1">
                <w14:lumMod w14:val="95000"/>
                <w14:lumOff w14:val="5000"/>
              </w14:schemeClr>
            </w14:solidFill>
          </w14:textFill>
        </w:rPr>
        <w:t xml:space="preserve">1 </w:t>
      </w: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云城区“十三五”主要发展目标完成情况</w:t>
      </w:r>
    </w:p>
    <w:tbl>
      <w:tblPr>
        <w:tblStyle w:val="18"/>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68"/>
        <w:gridCol w:w="1397"/>
        <w:gridCol w:w="993"/>
        <w:gridCol w:w="992"/>
        <w:gridCol w:w="1276"/>
        <w:gridCol w:w="1275"/>
        <w:gridCol w:w="851"/>
        <w:gridCol w:w="672"/>
      </w:tblGrid>
      <w:tr w14:paraId="409F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37" w:type="dxa"/>
            <w:gridSpan w:val="2"/>
            <w:vMerge w:val="restart"/>
            <w:vAlign w:val="center"/>
          </w:tcPr>
          <w:p w14:paraId="66FD85BD">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具体指标</w:t>
            </w:r>
          </w:p>
        </w:tc>
        <w:tc>
          <w:tcPr>
            <w:tcW w:w="1397" w:type="dxa"/>
            <w:vMerge w:val="restart"/>
            <w:vAlign w:val="center"/>
          </w:tcPr>
          <w:p w14:paraId="756F61AB">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2015</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年</w:t>
            </w:r>
          </w:p>
          <w:p w14:paraId="4601BED2">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基期数</w:t>
            </w:r>
          </w:p>
        </w:tc>
        <w:tc>
          <w:tcPr>
            <w:tcW w:w="1985" w:type="dxa"/>
            <w:gridSpan w:val="2"/>
            <w:vAlign w:val="center"/>
          </w:tcPr>
          <w:p w14:paraId="45016EAA">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“十三五”规划目标</w:t>
            </w:r>
          </w:p>
        </w:tc>
        <w:tc>
          <w:tcPr>
            <w:tcW w:w="2551" w:type="dxa"/>
            <w:gridSpan w:val="2"/>
            <w:vAlign w:val="center"/>
          </w:tcPr>
          <w:p w14:paraId="3364C25D">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“十三五”实际完成数</w:t>
            </w:r>
          </w:p>
        </w:tc>
        <w:tc>
          <w:tcPr>
            <w:tcW w:w="851" w:type="dxa"/>
            <w:vMerge w:val="restart"/>
            <w:noWrap/>
            <w:vAlign w:val="center"/>
          </w:tcPr>
          <w:p w14:paraId="5D250B6C">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指标</w:t>
            </w:r>
          </w:p>
          <w:p w14:paraId="064C2500">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属性</w:t>
            </w:r>
          </w:p>
        </w:tc>
        <w:tc>
          <w:tcPr>
            <w:tcW w:w="672" w:type="dxa"/>
            <w:vMerge w:val="restart"/>
            <w:vAlign w:val="center"/>
          </w:tcPr>
          <w:p w14:paraId="51854471">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备注</w:t>
            </w:r>
          </w:p>
        </w:tc>
      </w:tr>
      <w:tr w14:paraId="3600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37" w:type="dxa"/>
            <w:gridSpan w:val="2"/>
            <w:vMerge w:val="continue"/>
            <w:vAlign w:val="center"/>
          </w:tcPr>
          <w:p w14:paraId="191E455E">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c>
          <w:tcPr>
            <w:tcW w:w="1397" w:type="dxa"/>
            <w:vMerge w:val="continue"/>
            <w:vAlign w:val="center"/>
          </w:tcPr>
          <w:p w14:paraId="4FD6F348">
            <w:pPr>
              <w:adjustRightInd w:val="0"/>
              <w:snapToGrid w:val="0"/>
              <w:spacing w:line="600" w:lineRule="exact"/>
              <w:jc w:val="left"/>
              <w:rPr>
                <w:rFonts w:ascii="宋体" w:hAnsi="宋体"/>
                <w:color w:val="0D0D0D" w:themeColor="text1" w:themeTint="F2"/>
                <w:kern w:val="0"/>
                <w:sz w:val="20"/>
                <w:szCs w:val="20"/>
                <w14:textFill>
                  <w14:solidFill>
                    <w14:schemeClr w14:val="tx1">
                      <w14:lumMod w14:val="95000"/>
                      <w14:lumOff w14:val="5000"/>
                    </w14:schemeClr>
                  </w14:solidFill>
                </w14:textFill>
              </w:rPr>
            </w:pPr>
          </w:p>
        </w:tc>
        <w:tc>
          <w:tcPr>
            <w:tcW w:w="993" w:type="dxa"/>
            <w:vAlign w:val="center"/>
          </w:tcPr>
          <w:p w14:paraId="6CD31DEA">
            <w:pPr>
              <w:adjustRightInd w:val="0"/>
              <w:snapToGrid w:val="0"/>
              <w:spacing w:line="300" w:lineRule="exact"/>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2</w:t>
            </w:r>
            <w:r>
              <w:rPr>
                <w:rFonts w:ascii="宋体" w:hAnsi="宋体"/>
                <w:color w:val="0D0D0D" w:themeColor="text1" w:themeTint="F2"/>
                <w:kern w:val="0"/>
                <w:sz w:val="20"/>
                <w:szCs w:val="20"/>
                <w14:textFill>
                  <w14:solidFill>
                    <w14:schemeClr w14:val="tx1">
                      <w14:lumMod w14:val="95000"/>
                      <w14:lumOff w14:val="5000"/>
                    </w14:schemeClr>
                  </w14:solidFill>
                </w14:textFill>
              </w:rPr>
              <w:t>020</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年</w:t>
            </w:r>
          </w:p>
        </w:tc>
        <w:tc>
          <w:tcPr>
            <w:tcW w:w="992" w:type="dxa"/>
            <w:vAlign w:val="center"/>
          </w:tcPr>
          <w:p w14:paraId="5AF517E8">
            <w:pPr>
              <w:adjustRightInd w:val="0"/>
              <w:snapToGrid w:val="0"/>
              <w:spacing w:line="3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五年年均增速[累计]</w:t>
            </w:r>
          </w:p>
        </w:tc>
        <w:tc>
          <w:tcPr>
            <w:tcW w:w="1276" w:type="dxa"/>
            <w:vAlign w:val="center"/>
          </w:tcPr>
          <w:p w14:paraId="4075EE92">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2</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020</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年</w:t>
            </w:r>
          </w:p>
        </w:tc>
        <w:tc>
          <w:tcPr>
            <w:tcW w:w="1275" w:type="dxa"/>
            <w:vAlign w:val="center"/>
          </w:tcPr>
          <w:p w14:paraId="1FB3EF5F">
            <w:pPr>
              <w:adjustRightInd w:val="0"/>
              <w:snapToGrid w:val="0"/>
              <w:spacing w:line="3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五年年均增速[累计]</w:t>
            </w:r>
          </w:p>
        </w:tc>
        <w:tc>
          <w:tcPr>
            <w:tcW w:w="851" w:type="dxa"/>
            <w:vMerge w:val="continue"/>
            <w:noWrap/>
            <w:vAlign w:val="center"/>
          </w:tcPr>
          <w:p w14:paraId="4E6CDB83">
            <w:pPr>
              <w:adjustRightInd w:val="0"/>
              <w:snapToGrid w:val="0"/>
              <w:spacing w:line="600" w:lineRule="exact"/>
              <w:jc w:val="left"/>
              <w:rPr>
                <w:rFonts w:ascii="宋体" w:hAnsi="宋体"/>
                <w:color w:val="0D0D0D" w:themeColor="text1" w:themeTint="F2"/>
                <w:kern w:val="0"/>
                <w:sz w:val="20"/>
                <w:szCs w:val="20"/>
                <w14:textFill>
                  <w14:solidFill>
                    <w14:schemeClr w14:val="tx1">
                      <w14:lumMod w14:val="95000"/>
                      <w14:lumOff w14:val="5000"/>
                    </w14:schemeClr>
                  </w14:solidFill>
                </w14:textFill>
              </w:rPr>
            </w:pPr>
          </w:p>
        </w:tc>
        <w:tc>
          <w:tcPr>
            <w:tcW w:w="672" w:type="dxa"/>
            <w:vMerge w:val="continue"/>
            <w:vAlign w:val="center"/>
          </w:tcPr>
          <w:p w14:paraId="313588BA">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732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3" w:type="dxa"/>
            <w:gridSpan w:val="9"/>
          </w:tcPr>
          <w:p w14:paraId="0CD53CE0">
            <w:pPr>
              <w:rPr>
                <w:b/>
                <w:sz w:val="20"/>
                <w:szCs w:val="20"/>
              </w:rPr>
            </w:pPr>
            <w:r>
              <w:rPr>
                <w:rFonts w:hint="eastAsia"/>
                <w:b/>
                <w:sz w:val="20"/>
                <w:szCs w:val="20"/>
              </w:rPr>
              <w:t>一、经济发展</w:t>
            </w:r>
          </w:p>
        </w:tc>
      </w:tr>
      <w:tr w14:paraId="203A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2CB34F90">
            <w:pPr>
              <w:jc w:val="left"/>
              <w:rPr>
                <w:sz w:val="20"/>
                <w:szCs w:val="20"/>
              </w:rPr>
            </w:pPr>
            <w:r>
              <w:rPr>
                <w:rFonts w:hint="eastAsia"/>
                <w:sz w:val="20"/>
                <w:szCs w:val="20"/>
              </w:rPr>
              <w:t>地区生产总值（亿元）</w:t>
            </w:r>
          </w:p>
        </w:tc>
        <w:tc>
          <w:tcPr>
            <w:tcW w:w="1397" w:type="dxa"/>
            <w:vAlign w:val="center"/>
          </w:tcPr>
          <w:p w14:paraId="49956575">
            <w:pPr>
              <w:jc w:val="center"/>
              <w:rPr>
                <w:rFonts w:ascii="宋体" w:hAnsi="宋体" w:eastAsia="宋体"/>
                <w:sz w:val="20"/>
                <w:szCs w:val="20"/>
              </w:rPr>
            </w:pPr>
            <w:r>
              <w:rPr>
                <w:rFonts w:ascii="宋体" w:hAnsi="宋体" w:eastAsia="宋体"/>
                <w:sz w:val="20"/>
                <w:szCs w:val="20"/>
              </w:rPr>
              <w:t>159.47</w:t>
            </w:r>
          </w:p>
        </w:tc>
        <w:tc>
          <w:tcPr>
            <w:tcW w:w="993" w:type="dxa"/>
            <w:vAlign w:val="center"/>
          </w:tcPr>
          <w:p w14:paraId="194BC167">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70</w:t>
            </w:r>
          </w:p>
        </w:tc>
        <w:tc>
          <w:tcPr>
            <w:tcW w:w="992" w:type="dxa"/>
            <w:vAlign w:val="center"/>
          </w:tcPr>
          <w:p w14:paraId="32C56622">
            <w:pPr>
              <w:jc w:val="center"/>
              <w:rPr>
                <w:rFonts w:ascii="宋体" w:hAnsi="宋体" w:eastAsia="宋体"/>
                <w:sz w:val="20"/>
                <w:szCs w:val="20"/>
              </w:rPr>
            </w:pPr>
            <w:r>
              <w:rPr>
                <w:rFonts w:ascii="宋体" w:hAnsi="宋体" w:eastAsia="宋体"/>
                <w:sz w:val="20"/>
                <w:szCs w:val="20"/>
              </w:rPr>
              <w:t>11.5%</w:t>
            </w:r>
          </w:p>
        </w:tc>
        <w:tc>
          <w:tcPr>
            <w:tcW w:w="1276" w:type="dxa"/>
            <w:vAlign w:val="center"/>
          </w:tcPr>
          <w:p w14:paraId="57AD7939">
            <w:pPr>
              <w:jc w:val="center"/>
              <w:rPr>
                <w:rFonts w:ascii="宋体" w:hAnsi="宋体" w:eastAsia="宋体"/>
                <w:sz w:val="20"/>
                <w:szCs w:val="20"/>
              </w:rPr>
            </w:pPr>
            <w:r>
              <w:rPr>
                <w:rFonts w:hint="eastAsia" w:ascii="宋体" w:hAnsi="宋体" w:eastAsia="宋体"/>
                <w:sz w:val="20"/>
                <w:szCs w:val="20"/>
              </w:rPr>
              <w:t>219.19</w:t>
            </w:r>
          </w:p>
        </w:tc>
        <w:tc>
          <w:tcPr>
            <w:tcW w:w="1275" w:type="dxa"/>
            <w:vAlign w:val="center"/>
          </w:tcPr>
          <w:p w14:paraId="4C8C390A">
            <w:pPr>
              <w:jc w:val="center"/>
              <w:rPr>
                <w:rFonts w:ascii="宋体" w:hAnsi="宋体" w:eastAsia="宋体"/>
                <w:sz w:val="20"/>
                <w:szCs w:val="20"/>
              </w:rPr>
            </w:pPr>
            <w:r>
              <w:rPr>
                <w:rFonts w:hint="eastAsia" w:ascii="宋体" w:hAnsi="宋体" w:eastAsia="宋体"/>
                <w:sz w:val="20"/>
                <w:szCs w:val="20"/>
              </w:rPr>
              <w:t>5</w:t>
            </w:r>
            <w:r>
              <w:rPr>
                <w:rFonts w:ascii="宋体" w:hAnsi="宋体" w:eastAsia="宋体"/>
                <w:sz w:val="20"/>
                <w:szCs w:val="20"/>
              </w:rPr>
              <w:t>%</w:t>
            </w:r>
          </w:p>
        </w:tc>
        <w:tc>
          <w:tcPr>
            <w:tcW w:w="851" w:type="dxa"/>
            <w:noWrap/>
            <w:vAlign w:val="center"/>
          </w:tcPr>
          <w:p w14:paraId="18043A79">
            <w:pPr>
              <w:rPr>
                <w:sz w:val="20"/>
                <w:szCs w:val="20"/>
              </w:rPr>
            </w:pPr>
            <w:r>
              <w:rPr>
                <w:rFonts w:hint="eastAsia"/>
                <w:sz w:val="20"/>
                <w:szCs w:val="20"/>
              </w:rPr>
              <w:t>预期性</w:t>
            </w:r>
          </w:p>
        </w:tc>
        <w:tc>
          <w:tcPr>
            <w:tcW w:w="672" w:type="dxa"/>
            <w:vAlign w:val="center"/>
          </w:tcPr>
          <w:p w14:paraId="0CC67917">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1771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6F7F6E29">
            <w:pPr>
              <w:jc w:val="left"/>
              <w:rPr>
                <w:sz w:val="20"/>
                <w:szCs w:val="20"/>
              </w:rPr>
            </w:pPr>
            <w:r>
              <w:rPr>
                <w:rFonts w:hint="eastAsia"/>
                <w:sz w:val="20"/>
                <w:szCs w:val="20"/>
              </w:rPr>
              <w:t>三次产业比例（</w:t>
            </w:r>
            <w:r>
              <w:rPr>
                <w:sz w:val="20"/>
                <w:szCs w:val="20"/>
              </w:rPr>
              <w:t>%</w:t>
            </w:r>
            <w:r>
              <w:rPr>
                <w:rFonts w:hint="eastAsia"/>
                <w:sz w:val="20"/>
                <w:szCs w:val="20"/>
              </w:rPr>
              <w:t>）</w:t>
            </w:r>
          </w:p>
        </w:tc>
        <w:tc>
          <w:tcPr>
            <w:tcW w:w="1397" w:type="dxa"/>
            <w:vAlign w:val="center"/>
          </w:tcPr>
          <w:p w14:paraId="4AFE5E2E">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ascii="宋体" w:hAnsi="宋体"/>
                <w:color w:val="0D0D0D" w:themeColor="text1" w:themeTint="F2"/>
                <w:kern w:val="0"/>
                <w:sz w:val="18"/>
                <w:szCs w:val="18"/>
                <w14:textFill>
                  <w14:solidFill>
                    <w14:schemeClr w14:val="tx1">
                      <w14:lumMod w14:val="95000"/>
                      <w14:lumOff w14:val="5000"/>
                    </w14:schemeClr>
                  </w14:solidFill>
                </w14:textFill>
              </w:rPr>
              <w:t>6.6:49.5:43.9</w:t>
            </w:r>
          </w:p>
        </w:tc>
        <w:tc>
          <w:tcPr>
            <w:tcW w:w="993" w:type="dxa"/>
            <w:vAlign w:val="center"/>
          </w:tcPr>
          <w:p w14:paraId="1E9E05AD">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1</w:t>
            </w:r>
            <w:r>
              <w:rPr>
                <w:rFonts w:ascii="宋体" w:hAnsi="宋体"/>
                <w:color w:val="0D0D0D" w:themeColor="text1" w:themeTint="F2"/>
                <w:kern w:val="0"/>
                <w:sz w:val="18"/>
                <w:szCs w:val="18"/>
                <w14:textFill>
                  <w14:solidFill>
                    <w14:schemeClr w14:val="tx1">
                      <w14:lumMod w14:val="95000"/>
                      <w14:lumOff w14:val="5000"/>
                    </w14:schemeClr>
                  </w14:solidFill>
                </w14:textFill>
              </w:rPr>
              <w:t>1</w:t>
            </w:r>
            <w:r>
              <w:rPr>
                <w:rFonts w:hint="eastAsia" w:ascii="宋体" w:hAnsi="宋体"/>
                <w:color w:val="0D0D0D" w:themeColor="text1" w:themeTint="F2"/>
                <w:kern w:val="0"/>
                <w:sz w:val="18"/>
                <w:szCs w:val="18"/>
                <w14:textFill>
                  <w14:solidFill>
                    <w14:schemeClr w14:val="tx1">
                      <w14:lumMod w14:val="95000"/>
                      <w14:lumOff w14:val="5000"/>
                    </w14:schemeClr>
                  </w14:solidFill>
                </w14:textFill>
              </w:rPr>
              <w:t>:</w:t>
            </w:r>
            <w:r>
              <w:rPr>
                <w:rFonts w:ascii="宋体" w:hAnsi="宋体"/>
                <w:color w:val="0D0D0D" w:themeColor="text1" w:themeTint="F2"/>
                <w:kern w:val="0"/>
                <w:sz w:val="18"/>
                <w:szCs w:val="18"/>
                <w14:textFill>
                  <w14:solidFill>
                    <w14:schemeClr w14:val="tx1">
                      <w14:lumMod w14:val="95000"/>
                      <w14:lumOff w14:val="5000"/>
                    </w14:schemeClr>
                  </w14:solidFill>
                </w14:textFill>
              </w:rPr>
              <w:t>47</w:t>
            </w:r>
            <w:r>
              <w:rPr>
                <w:rFonts w:hint="eastAsia" w:ascii="宋体" w:hAnsi="宋体"/>
                <w:color w:val="0D0D0D" w:themeColor="text1" w:themeTint="F2"/>
                <w:kern w:val="0"/>
                <w:sz w:val="18"/>
                <w:szCs w:val="18"/>
                <w14:textFill>
                  <w14:solidFill>
                    <w14:schemeClr w14:val="tx1">
                      <w14:lumMod w14:val="95000"/>
                      <w14:lumOff w14:val="5000"/>
                    </w14:schemeClr>
                  </w14:solidFill>
                </w14:textFill>
              </w:rPr>
              <w:t>:</w:t>
            </w:r>
            <w:r>
              <w:rPr>
                <w:rFonts w:ascii="宋体" w:hAnsi="宋体"/>
                <w:color w:val="0D0D0D" w:themeColor="text1" w:themeTint="F2"/>
                <w:kern w:val="0"/>
                <w:sz w:val="18"/>
                <w:szCs w:val="18"/>
                <w14:textFill>
                  <w14:solidFill>
                    <w14:schemeClr w14:val="tx1">
                      <w14:lumMod w14:val="95000"/>
                      <w14:lumOff w14:val="5000"/>
                    </w14:schemeClr>
                  </w14:solidFill>
                </w14:textFill>
              </w:rPr>
              <w:t>42</w:t>
            </w:r>
          </w:p>
        </w:tc>
        <w:tc>
          <w:tcPr>
            <w:tcW w:w="992" w:type="dxa"/>
            <w:vAlign w:val="center"/>
          </w:tcPr>
          <w:p w14:paraId="22ABFE91">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276" w:type="dxa"/>
            <w:vAlign w:val="center"/>
          </w:tcPr>
          <w:p w14:paraId="5C911D98">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5"/>
                <w:szCs w:val="15"/>
                <w14:textFill>
                  <w14:solidFill>
                    <w14:schemeClr w14:val="tx1">
                      <w14:lumMod w14:val="95000"/>
                      <w14:lumOff w14:val="5000"/>
                    </w14:schemeClr>
                  </w14:solidFill>
                </w14:textFill>
              </w:rPr>
              <w:t>7.8：29.7：62.5</w:t>
            </w:r>
          </w:p>
        </w:tc>
        <w:tc>
          <w:tcPr>
            <w:tcW w:w="1275" w:type="dxa"/>
            <w:vAlign w:val="center"/>
          </w:tcPr>
          <w:p w14:paraId="15DDBD7F">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851" w:type="dxa"/>
            <w:noWrap/>
            <w:vAlign w:val="center"/>
          </w:tcPr>
          <w:p w14:paraId="238C7CE2">
            <w:pPr>
              <w:rPr>
                <w:sz w:val="20"/>
                <w:szCs w:val="20"/>
              </w:rPr>
            </w:pPr>
            <w:r>
              <w:rPr>
                <w:rFonts w:hint="eastAsia"/>
                <w:sz w:val="20"/>
                <w:szCs w:val="20"/>
              </w:rPr>
              <w:t>预期性</w:t>
            </w:r>
          </w:p>
        </w:tc>
        <w:tc>
          <w:tcPr>
            <w:tcW w:w="672" w:type="dxa"/>
            <w:vAlign w:val="center"/>
          </w:tcPr>
          <w:p w14:paraId="40CBDB93">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EBB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0B529E7B">
            <w:pPr>
              <w:jc w:val="left"/>
              <w:rPr>
                <w:sz w:val="20"/>
                <w:szCs w:val="20"/>
              </w:rPr>
            </w:pPr>
            <w:r>
              <w:rPr>
                <w:rFonts w:hint="eastAsia"/>
                <w:sz w:val="20"/>
                <w:szCs w:val="20"/>
              </w:rPr>
              <w:t>人均</w:t>
            </w:r>
            <w:r>
              <w:rPr>
                <w:sz w:val="20"/>
                <w:szCs w:val="20"/>
              </w:rPr>
              <w:t>GDP</w:t>
            </w:r>
            <w:r>
              <w:rPr>
                <w:rFonts w:hint="eastAsia"/>
                <w:sz w:val="20"/>
                <w:szCs w:val="20"/>
              </w:rPr>
              <w:t>（元）</w:t>
            </w:r>
          </w:p>
        </w:tc>
        <w:tc>
          <w:tcPr>
            <w:tcW w:w="1397" w:type="dxa"/>
            <w:vAlign w:val="center"/>
          </w:tcPr>
          <w:p w14:paraId="2099157C">
            <w:pPr>
              <w:jc w:val="center"/>
              <w:rPr>
                <w:rFonts w:ascii="宋体" w:hAnsi="宋体" w:eastAsia="宋体"/>
                <w:sz w:val="20"/>
                <w:szCs w:val="20"/>
              </w:rPr>
            </w:pPr>
            <w:r>
              <w:rPr>
                <w:rFonts w:ascii="宋体" w:hAnsi="宋体" w:eastAsia="宋体"/>
                <w:sz w:val="20"/>
                <w:szCs w:val="20"/>
              </w:rPr>
              <w:t>45897</w:t>
            </w:r>
          </w:p>
        </w:tc>
        <w:tc>
          <w:tcPr>
            <w:tcW w:w="993" w:type="dxa"/>
            <w:vAlign w:val="center"/>
          </w:tcPr>
          <w:p w14:paraId="5F1C4BB4">
            <w:pPr>
              <w:jc w:val="center"/>
              <w:rPr>
                <w:rFonts w:ascii="宋体" w:hAnsi="宋体" w:eastAsia="宋体"/>
                <w:sz w:val="20"/>
                <w:szCs w:val="20"/>
              </w:rPr>
            </w:pPr>
            <w:r>
              <w:rPr>
                <w:rFonts w:hint="eastAsia" w:ascii="宋体" w:hAnsi="宋体" w:eastAsia="宋体"/>
                <w:sz w:val="20"/>
                <w:szCs w:val="20"/>
              </w:rPr>
              <w:t>4</w:t>
            </w:r>
            <w:r>
              <w:rPr>
                <w:rFonts w:ascii="宋体" w:hAnsi="宋体" w:eastAsia="宋体"/>
                <w:sz w:val="20"/>
                <w:szCs w:val="20"/>
              </w:rPr>
              <w:t>4700</w:t>
            </w:r>
          </w:p>
        </w:tc>
        <w:tc>
          <w:tcPr>
            <w:tcW w:w="992" w:type="dxa"/>
            <w:vAlign w:val="center"/>
          </w:tcPr>
          <w:p w14:paraId="46E7AD02">
            <w:pPr>
              <w:jc w:val="center"/>
              <w:rPr>
                <w:rFonts w:ascii="宋体" w:hAnsi="宋体" w:eastAsia="宋体"/>
                <w:sz w:val="20"/>
                <w:szCs w:val="20"/>
              </w:rPr>
            </w:pPr>
            <w:r>
              <w:rPr>
                <w:rFonts w:ascii="宋体" w:hAnsi="宋体" w:eastAsia="宋体"/>
                <w:sz w:val="20"/>
                <w:szCs w:val="20"/>
              </w:rPr>
              <w:t>8%</w:t>
            </w:r>
          </w:p>
        </w:tc>
        <w:tc>
          <w:tcPr>
            <w:tcW w:w="1276" w:type="dxa"/>
            <w:vAlign w:val="center"/>
          </w:tcPr>
          <w:p w14:paraId="141C5935">
            <w:pPr>
              <w:jc w:val="center"/>
              <w:rPr>
                <w:rFonts w:ascii="宋体" w:hAnsi="宋体" w:eastAsia="宋体"/>
                <w:sz w:val="20"/>
                <w:szCs w:val="20"/>
              </w:rPr>
            </w:pPr>
            <w:r>
              <w:rPr>
                <w:rFonts w:hint="eastAsia" w:ascii="宋体" w:hAnsi="宋体" w:eastAsia="宋体"/>
                <w:sz w:val="20"/>
                <w:szCs w:val="20"/>
              </w:rPr>
              <w:t>56682</w:t>
            </w:r>
          </w:p>
        </w:tc>
        <w:tc>
          <w:tcPr>
            <w:tcW w:w="1275" w:type="dxa"/>
            <w:vAlign w:val="center"/>
          </w:tcPr>
          <w:p w14:paraId="58A4BE0A">
            <w:pPr>
              <w:jc w:val="center"/>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w:t>
            </w:r>
            <w:r>
              <w:rPr>
                <w:rFonts w:hint="eastAsia" w:ascii="宋体" w:hAnsi="宋体" w:eastAsia="宋体"/>
                <w:sz w:val="20"/>
                <w:szCs w:val="20"/>
              </w:rPr>
              <w:t>8%(预计)数</w:t>
            </w:r>
          </w:p>
        </w:tc>
        <w:tc>
          <w:tcPr>
            <w:tcW w:w="851" w:type="dxa"/>
            <w:noWrap/>
            <w:vAlign w:val="center"/>
          </w:tcPr>
          <w:p w14:paraId="07621A22">
            <w:pPr>
              <w:rPr>
                <w:sz w:val="20"/>
                <w:szCs w:val="20"/>
              </w:rPr>
            </w:pPr>
            <w:r>
              <w:rPr>
                <w:rFonts w:hint="eastAsia"/>
                <w:sz w:val="20"/>
                <w:szCs w:val="20"/>
              </w:rPr>
              <w:t>预期性</w:t>
            </w:r>
          </w:p>
        </w:tc>
        <w:tc>
          <w:tcPr>
            <w:tcW w:w="672" w:type="dxa"/>
            <w:vAlign w:val="center"/>
          </w:tcPr>
          <w:p w14:paraId="68F1BD1A">
            <w:pPr>
              <w:adjustRightInd w:val="0"/>
              <w:snapToGrid w:val="0"/>
              <w:spacing w:line="360" w:lineRule="auto"/>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21E4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5F9E96C5">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第三产业增加值占</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GDP</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比重（</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7D1F7872">
            <w:pPr>
              <w:jc w:val="center"/>
              <w:rPr>
                <w:rFonts w:ascii="宋体" w:hAnsi="宋体" w:eastAsia="宋体"/>
                <w:sz w:val="20"/>
                <w:szCs w:val="20"/>
              </w:rPr>
            </w:pPr>
            <w:r>
              <w:rPr>
                <w:rFonts w:ascii="宋体" w:hAnsi="宋体" w:eastAsia="宋体"/>
                <w:sz w:val="20"/>
                <w:szCs w:val="20"/>
              </w:rPr>
              <w:t>44</w:t>
            </w:r>
          </w:p>
        </w:tc>
        <w:tc>
          <w:tcPr>
            <w:tcW w:w="993" w:type="dxa"/>
            <w:vAlign w:val="center"/>
          </w:tcPr>
          <w:p w14:paraId="59FA8AE1">
            <w:pPr>
              <w:jc w:val="center"/>
              <w:rPr>
                <w:rFonts w:ascii="宋体" w:hAnsi="宋体" w:eastAsia="宋体"/>
                <w:sz w:val="20"/>
                <w:szCs w:val="20"/>
              </w:rPr>
            </w:pPr>
            <w:r>
              <w:rPr>
                <w:rFonts w:ascii="宋体" w:hAnsi="宋体" w:eastAsia="宋体"/>
                <w:sz w:val="20"/>
                <w:szCs w:val="20"/>
              </w:rPr>
              <w:t>42</w:t>
            </w:r>
          </w:p>
        </w:tc>
        <w:tc>
          <w:tcPr>
            <w:tcW w:w="992" w:type="dxa"/>
            <w:vAlign w:val="center"/>
          </w:tcPr>
          <w:p w14:paraId="5D6D088A">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7159B70A">
            <w:pPr>
              <w:jc w:val="center"/>
              <w:rPr>
                <w:rFonts w:ascii="宋体" w:hAnsi="宋体" w:eastAsia="宋体"/>
                <w:sz w:val="20"/>
                <w:szCs w:val="20"/>
              </w:rPr>
            </w:pPr>
            <w:r>
              <w:rPr>
                <w:rFonts w:hint="eastAsia" w:ascii="宋体" w:hAnsi="宋体" w:eastAsia="宋体"/>
                <w:sz w:val="20"/>
                <w:szCs w:val="20"/>
              </w:rPr>
              <w:t>6</w:t>
            </w:r>
            <w:r>
              <w:rPr>
                <w:rFonts w:ascii="宋体" w:hAnsi="宋体" w:eastAsia="宋体"/>
                <w:sz w:val="20"/>
                <w:szCs w:val="20"/>
              </w:rPr>
              <w:t>3</w:t>
            </w:r>
          </w:p>
        </w:tc>
        <w:tc>
          <w:tcPr>
            <w:tcW w:w="1275" w:type="dxa"/>
            <w:vAlign w:val="center"/>
          </w:tcPr>
          <w:p w14:paraId="76090F7E">
            <w:pPr>
              <w:jc w:val="center"/>
              <w:rPr>
                <w:rFonts w:ascii="宋体" w:hAnsi="宋体" w:eastAsia="宋体"/>
                <w:sz w:val="20"/>
                <w:szCs w:val="20"/>
              </w:rPr>
            </w:pPr>
          </w:p>
        </w:tc>
        <w:tc>
          <w:tcPr>
            <w:tcW w:w="851" w:type="dxa"/>
            <w:noWrap/>
            <w:vAlign w:val="center"/>
          </w:tcPr>
          <w:p w14:paraId="75514DBB">
            <w:pPr>
              <w:rPr>
                <w:sz w:val="20"/>
                <w:szCs w:val="20"/>
              </w:rPr>
            </w:pPr>
            <w:r>
              <w:rPr>
                <w:rFonts w:hint="eastAsia"/>
                <w:sz w:val="20"/>
                <w:szCs w:val="20"/>
              </w:rPr>
              <w:t>预期性</w:t>
            </w:r>
          </w:p>
        </w:tc>
        <w:tc>
          <w:tcPr>
            <w:tcW w:w="672" w:type="dxa"/>
            <w:vAlign w:val="center"/>
          </w:tcPr>
          <w:p w14:paraId="02D59E42">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5CA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08CEC19B">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地方一般公共预算收入（亿元）</w:t>
            </w:r>
          </w:p>
        </w:tc>
        <w:tc>
          <w:tcPr>
            <w:tcW w:w="1397" w:type="dxa"/>
            <w:vAlign w:val="center"/>
          </w:tcPr>
          <w:p w14:paraId="6D85F6C4">
            <w:pPr>
              <w:jc w:val="center"/>
              <w:rPr>
                <w:rFonts w:ascii="宋体" w:hAnsi="宋体" w:eastAsia="宋体"/>
                <w:sz w:val="20"/>
                <w:szCs w:val="20"/>
              </w:rPr>
            </w:pPr>
            <w:r>
              <w:rPr>
                <w:rFonts w:ascii="宋体" w:hAnsi="宋体" w:eastAsia="宋体"/>
                <w:sz w:val="20"/>
                <w:szCs w:val="20"/>
              </w:rPr>
              <w:t>5.9836</w:t>
            </w:r>
          </w:p>
        </w:tc>
        <w:tc>
          <w:tcPr>
            <w:tcW w:w="993" w:type="dxa"/>
            <w:vAlign w:val="center"/>
          </w:tcPr>
          <w:p w14:paraId="5FA478B2">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0</w:t>
            </w:r>
          </w:p>
        </w:tc>
        <w:tc>
          <w:tcPr>
            <w:tcW w:w="992" w:type="dxa"/>
            <w:vAlign w:val="center"/>
          </w:tcPr>
          <w:p w14:paraId="6D05E26A">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r>
              <w:rPr>
                <w:rFonts w:hint="eastAsia" w:ascii="宋体" w:hAnsi="宋体" w:eastAsia="宋体"/>
                <w:sz w:val="20"/>
                <w:szCs w:val="20"/>
              </w:rPr>
              <w:t>%</w:t>
            </w:r>
          </w:p>
        </w:tc>
        <w:tc>
          <w:tcPr>
            <w:tcW w:w="1276" w:type="dxa"/>
            <w:vAlign w:val="center"/>
          </w:tcPr>
          <w:p w14:paraId="279416B6">
            <w:pPr>
              <w:jc w:val="center"/>
              <w:rPr>
                <w:rFonts w:ascii="宋体" w:hAnsi="宋体" w:eastAsia="宋体"/>
                <w:sz w:val="20"/>
                <w:szCs w:val="20"/>
              </w:rPr>
            </w:pPr>
            <w:r>
              <w:rPr>
                <w:rFonts w:ascii="宋体" w:hAnsi="宋体" w:eastAsia="宋体"/>
                <w:sz w:val="20"/>
                <w:szCs w:val="20"/>
              </w:rPr>
              <w:t>5.08</w:t>
            </w:r>
          </w:p>
        </w:tc>
        <w:tc>
          <w:tcPr>
            <w:tcW w:w="1275" w:type="dxa"/>
            <w:vAlign w:val="center"/>
          </w:tcPr>
          <w:p w14:paraId="14DD2D49">
            <w:pPr>
              <w:jc w:val="center"/>
              <w:rPr>
                <w:rFonts w:ascii="宋体" w:hAnsi="宋体" w:eastAsia="宋体"/>
                <w:sz w:val="20"/>
                <w:szCs w:val="20"/>
              </w:rPr>
            </w:pPr>
            <w:r>
              <w:rPr>
                <w:rFonts w:ascii="宋体" w:hAnsi="宋体" w:eastAsia="宋体"/>
                <w:sz w:val="20"/>
                <w:szCs w:val="20"/>
              </w:rPr>
              <w:t>-7.37%</w:t>
            </w:r>
          </w:p>
        </w:tc>
        <w:tc>
          <w:tcPr>
            <w:tcW w:w="851" w:type="dxa"/>
            <w:noWrap/>
            <w:vAlign w:val="center"/>
          </w:tcPr>
          <w:p w14:paraId="049564A3">
            <w:pPr>
              <w:rPr>
                <w:sz w:val="20"/>
                <w:szCs w:val="20"/>
              </w:rPr>
            </w:pPr>
            <w:r>
              <w:rPr>
                <w:rFonts w:hint="eastAsia"/>
                <w:sz w:val="20"/>
                <w:szCs w:val="20"/>
              </w:rPr>
              <w:t>预期性</w:t>
            </w:r>
          </w:p>
        </w:tc>
        <w:tc>
          <w:tcPr>
            <w:tcW w:w="672" w:type="dxa"/>
            <w:vAlign w:val="center"/>
          </w:tcPr>
          <w:p w14:paraId="0991D98E">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p w14:paraId="6C27828B">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区财政局</w:t>
            </w:r>
          </w:p>
        </w:tc>
      </w:tr>
      <w:tr w14:paraId="4F38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34826704">
            <w:pPr>
              <w:adjustRightInd w:val="0"/>
              <w:snapToGrid w:val="0"/>
              <w:jc w:val="left"/>
              <w:rPr>
                <w:rFonts w:ascii="宋体" w:hAnsi="宋体" w:cs="仿宋_GB2312"/>
                <w:color w:val="0D0D0D" w:themeColor="text1" w:themeTint="F2"/>
                <w:kern w:val="0"/>
                <w:sz w:val="20"/>
                <w:szCs w:val="20"/>
                <w:highlight w:val="yellow"/>
                <w14:textFill>
                  <w14:solidFill>
                    <w14:schemeClr w14:val="tx1">
                      <w14:lumMod w14:val="95000"/>
                      <w14:lumOff w14:val="5000"/>
                    </w14:schemeClr>
                  </w14:solidFill>
                </w14:textFill>
              </w:rPr>
            </w:pPr>
            <w:r>
              <w:rPr>
                <w:rFonts w:hint="eastAsia" w:ascii="宋体" w:hAnsi="宋体" w:cs="仿宋_GB2312"/>
                <w:kern w:val="0"/>
                <w:sz w:val="20"/>
                <w:szCs w:val="20"/>
              </w:rPr>
              <w:t>社会消费品零售总额（亿元）</w:t>
            </w:r>
          </w:p>
        </w:tc>
        <w:tc>
          <w:tcPr>
            <w:tcW w:w="1397" w:type="dxa"/>
            <w:vAlign w:val="center"/>
          </w:tcPr>
          <w:p w14:paraId="3D95F6BB">
            <w:pPr>
              <w:jc w:val="center"/>
              <w:rPr>
                <w:rFonts w:ascii="宋体" w:hAnsi="宋体" w:eastAsia="宋体"/>
                <w:sz w:val="20"/>
                <w:szCs w:val="20"/>
              </w:rPr>
            </w:pPr>
            <w:r>
              <w:rPr>
                <w:rFonts w:ascii="宋体" w:hAnsi="宋体" w:eastAsia="宋体"/>
                <w:sz w:val="20"/>
                <w:szCs w:val="20"/>
              </w:rPr>
              <w:t>62.7</w:t>
            </w:r>
          </w:p>
        </w:tc>
        <w:tc>
          <w:tcPr>
            <w:tcW w:w="993" w:type="dxa"/>
            <w:vAlign w:val="center"/>
          </w:tcPr>
          <w:p w14:paraId="5993C0C0">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16</w:t>
            </w:r>
          </w:p>
        </w:tc>
        <w:tc>
          <w:tcPr>
            <w:tcW w:w="992" w:type="dxa"/>
          </w:tcPr>
          <w:p w14:paraId="65001362">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3</w:t>
            </w:r>
            <w:r>
              <w:rPr>
                <w:rFonts w:hint="eastAsia" w:ascii="宋体" w:hAnsi="宋体" w:eastAsia="宋体"/>
                <w:sz w:val="20"/>
                <w:szCs w:val="20"/>
              </w:rPr>
              <w:t>%</w:t>
            </w:r>
          </w:p>
        </w:tc>
        <w:tc>
          <w:tcPr>
            <w:tcW w:w="1276" w:type="dxa"/>
            <w:vAlign w:val="center"/>
          </w:tcPr>
          <w:p w14:paraId="3BB12DF2">
            <w:pPr>
              <w:jc w:val="center"/>
              <w:rPr>
                <w:rFonts w:ascii="宋体" w:hAnsi="宋体" w:eastAsia="宋体"/>
                <w:sz w:val="20"/>
                <w:szCs w:val="20"/>
              </w:rPr>
            </w:pPr>
            <w:r>
              <w:rPr>
                <w:rFonts w:hint="eastAsia" w:ascii="宋体" w:hAnsi="宋体" w:eastAsia="宋体"/>
                <w:sz w:val="20"/>
                <w:szCs w:val="20"/>
              </w:rPr>
              <w:t>105.01</w:t>
            </w:r>
          </w:p>
        </w:tc>
        <w:tc>
          <w:tcPr>
            <w:tcW w:w="1275" w:type="dxa"/>
            <w:vAlign w:val="center"/>
          </w:tcPr>
          <w:p w14:paraId="2BF3BE57">
            <w:pPr>
              <w:jc w:val="center"/>
              <w:rPr>
                <w:rFonts w:ascii="宋体" w:hAnsi="宋体" w:eastAsia="宋体"/>
                <w:sz w:val="20"/>
                <w:szCs w:val="20"/>
              </w:rPr>
            </w:pPr>
            <w:r>
              <w:rPr>
                <w:rFonts w:hint="eastAsia" w:ascii="宋体" w:hAnsi="宋体" w:eastAsia="宋体"/>
                <w:sz w:val="20"/>
                <w:szCs w:val="20"/>
              </w:rPr>
              <w:t>6</w:t>
            </w:r>
            <w:r>
              <w:rPr>
                <w:rFonts w:ascii="宋体" w:hAnsi="宋体" w:eastAsia="宋体"/>
                <w:sz w:val="20"/>
                <w:szCs w:val="20"/>
              </w:rPr>
              <w:t>.9</w:t>
            </w:r>
            <w:r>
              <w:rPr>
                <w:rFonts w:hint="eastAsia" w:ascii="宋体" w:hAnsi="宋体" w:eastAsia="宋体"/>
                <w:sz w:val="20"/>
                <w:szCs w:val="20"/>
              </w:rPr>
              <w:t>%</w:t>
            </w:r>
          </w:p>
        </w:tc>
        <w:tc>
          <w:tcPr>
            <w:tcW w:w="851" w:type="dxa"/>
            <w:noWrap/>
            <w:vAlign w:val="center"/>
          </w:tcPr>
          <w:p w14:paraId="454DA5EB">
            <w:pPr>
              <w:rPr>
                <w:sz w:val="20"/>
                <w:szCs w:val="20"/>
              </w:rPr>
            </w:pPr>
            <w:r>
              <w:rPr>
                <w:rFonts w:hint="eastAsia"/>
                <w:sz w:val="20"/>
                <w:szCs w:val="20"/>
              </w:rPr>
              <w:t>预期性</w:t>
            </w:r>
          </w:p>
        </w:tc>
        <w:tc>
          <w:tcPr>
            <w:tcW w:w="672" w:type="dxa"/>
          </w:tcPr>
          <w:p w14:paraId="0994060D">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2BC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737" w:type="dxa"/>
            <w:gridSpan w:val="2"/>
            <w:vAlign w:val="center"/>
          </w:tcPr>
          <w:p w14:paraId="4E2BD582">
            <w:pPr>
              <w:adjustRightInd w:val="0"/>
              <w:snapToGrid w:val="0"/>
              <w:jc w:val="left"/>
              <w:rPr>
                <w:rFonts w:ascii="宋体" w:hAnsi="宋体" w:cs="仿宋_GB2312"/>
                <w:kern w:val="0"/>
                <w:sz w:val="20"/>
                <w:szCs w:val="20"/>
              </w:rPr>
            </w:pPr>
            <w:r>
              <w:rPr>
                <w:rFonts w:hint="eastAsia" w:ascii="宋体" w:hAnsi="宋体" w:cs="仿宋_GB2312"/>
                <w:kern w:val="0"/>
                <w:sz w:val="20"/>
                <w:szCs w:val="20"/>
              </w:rPr>
              <w:t>居民消费价格指数（</w:t>
            </w:r>
            <w:r>
              <w:rPr>
                <w:rFonts w:ascii="宋体" w:hAnsi="宋体" w:cs="仿宋_GB2312"/>
                <w:kern w:val="0"/>
                <w:sz w:val="20"/>
                <w:szCs w:val="20"/>
              </w:rPr>
              <w:t>%）</w:t>
            </w:r>
          </w:p>
        </w:tc>
        <w:tc>
          <w:tcPr>
            <w:tcW w:w="1397" w:type="dxa"/>
            <w:vAlign w:val="center"/>
          </w:tcPr>
          <w:p w14:paraId="431BCBB8">
            <w:pPr>
              <w:jc w:val="center"/>
              <w:rPr>
                <w:rFonts w:ascii="宋体" w:hAnsi="宋体" w:eastAsia="宋体"/>
                <w:sz w:val="20"/>
                <w:szCs w:val="20"/>
              </w:rPr>
            </w:pPr>
            <w:r>
              <w:rPr>
                <w:rFonts w:ascii="宋体" w:hAnsi="宋体" w:eastAsia="宋体"/>
                <w:sz w:val="20"/>
                <w:szCs w:val="20"/>
              </w:rPr>
              <w:t>101.2</w:t>
            </w:r>
          </w:p>
        </w:tc>
        <w:tc>
          <w:tcPr>
            <w:tcW w:w="993" w:type="dxa"/>
            <w:vAlign w:val="center"/>
          </w:tcPr>
          <w:p w14:paraId="7EF1A4A6">
            <w:pPr>
              <w:jc w:val="center"/>
              <w:rPr>
                <w:rFonts w:ascii="宋体" w:hAnsi="宋体" w:eastAsia="宋体"/>
                <w:sz w:val="20"/>
                <w:szCs w:val="20"/>
              </w:rPr>
            </w:pPr>
            <w:r>
              <w:rPr>
                <w:rFonts w:ascii="宋体" w:hAnsi="宋体" w:eastAsia="宋体"/>
                <w:sz w:val="20"/>
                <w:szCs w:val="20"/>
              </w:rPr>
              <w:t>103.5</w:t>
            </w:r>
          </w:p>
        </w:tc>
        <w:tc>
          <w:tcPr>
            <w:tcW w:w="992" w:type="dxa"/>
          </w:tcPr>
          <w:p w14:paraId="5A492125">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345FC011">
            <w:pPr>
              <w:jc w:val="center"/>
              <w:rPr>
                <w:rFonts w:ascii="仿宋_GB2312" w:hAnsi="宋体"/>
                <w:sz w:val="20"/>
                <w:szCs w:val="20"/>
              </w:rPr>
            </w:pPr>
            <w:r>
              <w:rPr>
                <w:rFonts w:hint="eastAsia" w:ascii="仿宋_GB2312" w:hAnsi="宋体"/>
                <w:sz w:val="20"/>
                <w:szCs w:val="20"/>
              </w:rPr>
              <w:t>在合理区间</w:t>
            </w:r>
          </w:p>
        </w:tc>
        <w:tc>
          <w:tcPr>
            <w:tcW w:w="1275" w:type="dxa"/>
            <w:vAlign w:val="center"/>
          </w:tcPr>
          <w:p w14:paraId="3F8A6379">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7F8663D4">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5E2A5A33">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5FD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62ECA747">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研究与发展经费支出占地区生产总值比重（</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0D8EE3CB">
            <w:pPr>
              <w:jc w:val="center"/>
              <w:rPr>
                <w:rFonts w:ascii="宋体" w:hAnsi="宋体" w:eastAsia="宋体"/>
                <w:sz w:val="20"/>
                <w:szCs w:val="20"/>
              </w:rPr>
            </w:pPr>
            <w:r>
              <w:rPr>
                <w:rFonts w:ascii="宋体" w:hAnsi="宋体" w:eastAsia="宋体"/>
                <w:sz w:val="20"/>
                <w:szCs w:val="20"/>
              </w:rPr>
              <w:t>0.34</w:t>
            </w:r>
          </w:p>
        </w:tc>
        <w:tc>
          <w:tcPr>
            <w:tcW w:w="993" w:type="dxa"/>
            <w:vAlign w:val="center"/>
          </w:tcPr>
          <w:p w14:paraId="4C24942E">
            <w:pPr>
              <w:jc w:val="center"/>
              <w:rPr>
                <w:rFonts w:ascii="宋体" w:hAnsi="宋体" w:eastAsia="宋体"/>
                <w:sz w:val="20"/>
                <w:szCs w:val="20"/>
              </w:rPr>
            </w:pPr>
            <w:r>
              <w:rPr>
                <w:rFonts w:ascii="宋体" w:hAnsi="宋体" w:eastAsia="宋体"/>
                <w:sz w:val="20"/>
                <w:szCs w:val="20"/>
              </w:rPr>
              <w:t>1.45</w:t>
            </w:r>
          </w:p>
        </w:tc>
        <w:tc>
          <w:tcPr>
            <w:tcW w:w="992" w:type="dxa"/>
          </w:tcPr>
          <w:p w14:paraId="73EA7B40">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64B70BD3">
            <w:pPr>
              <w:jc w:val="center"/>
              <w:rPr>
                <w:rFonts w:ascii="仿宋_GB2312" w:hAnsi="宋体"/>
                <w:sz w:val="20"/>
                <w:szCs w:val="20"/>
              </w:rPr>
            </w:pPr>
            <w:r>
              <w:rPr>
                <w:rFonts w:hint="eastAsia" w:ascii="仿宋_GB2312" w:hAnsi="宋体"/>
                <w:sz w:val="20"/>
                <w:szCs w:val="20"/>
              </w:rPr>
              <w:t>未有数</w:t>
            </w:r>
          </w:p>
        </w:tc>
        <w:tc>
          <w:tcPr>
            <w:tcW w:w="1275" w:type="dxa"/>
            <w:vAlign w:val="center"/>
          </w:tcPr>
          <w:p w14:paraId="624AFD70">
            <w:pPr>
              <w:jc w:val="center"/>
              <w:rPr>
                <w:rFonts w:ascii="宋体" w:hAnsi="宋体" w:eastAsia="宋体"/>
                <w:sz w:val="20"/>
                <w:szCs w:val="20"/>
              </w:rPr>
            </w:pPr>
            <w:r>
              <w:rPr>
                <w:rFonts w:hint="eastAsia" w:ascii="宋体" w:hAnsi="宋体" w:eastAsia="宋体"/>
                <w:sz w:val="20"/>
                <w:szCs w:val="20"/>
              </w:rPr>
              <w:t>-</w:t>
            </w:r>
          </w:p>
        </w:tc>
        <w:tc>
          <w:tcPr>
            <w:tcW w:w="851" w:type="dxa"/>
            <w:noWrap/>
            <w:vAlign w:val="center"/>
          </w:tcPr>
          <w:p w14:paraId="3B0919A2">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10A8EDE4">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p w14:paraId="7FD66D9D">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区工信局</w:t>
            </w:r>
          </w:p>
        </w:tc>
      </w:tr>
      <w:tr w14:paraId="2291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10D72ECE">
            <w:pPr>
              <w:adjustRightInd w:val="0"/>
              <w:snapToGrid w:val="0"/>
              <w:jc w:val="left"/>
              <w:rPr>
                <w:rFonts w:ascii="宋体" w:hAnsi="宋体" w:cs="仿宋_GB2312"/>
                <w:kern w:val="0"/>
                <w:sz w:val="20"/>
                <w:szCs w:val="20"/>
              </w:rPr>
            </w:pPr>
            <w:r>
              <w:rPr>
                <w:rFonts w:hint="eastAsia" w:ascii="宋体" w:hAnsi="宋体" w:cs="仿宋_GB2312"/>
                <w:kern w:val="0"/>
                <w:sz w:val="20"/>
                <w:szCs w:val="20"/>
              </w:rPr>
              <w:t>全社会固定资产投资总额（亿元）</w:t>
            </w:r>
          </w:p>
        </w:tc>
        <w:tc>
          <w:tcPr>
            <w:tcW w:w="1397" w:type="dxa"/>
            <w:vAlign w:val="center"/>
          </w:tcPr>
          <w:p w14:paraId="3AA1CA86">
            <w:pPr>
              <w:jc w:val="center"/>
              <w:rPr>
                <w:rFonts w:ascii="宋体" w:hAnsi="宋体" w:eastAsia="宋体"/>
                <w:sz w:val="20"/>
                <w:szCs w:val="20"/>
              </w:rPr>
            </w:pPr>
            <w:r>
              <w:rPr>
                <w:rFonts w:ascii="宋体" w:hAnsi="宋体" w:eastAsia="宋体"/>
                <w:sz w:val="20"/>
                <w:szCs w:val="20"/>
              </w:rPr>
              <w:t>194.73</w:t>
            </w:r>
          </w:p>
        </w:tc>
        <w:tc>
          <w:tcPr>
            <w:tcW w:w="993" w:type="dxa"/>
            <w:vAlign w:val="center"/>
          </w:tcPr>
          <w:p w14:paraId="031B2F94">
            <w:pPr>
              <w:jc w:val="center"/>
              <w:rPr>
                <w:rFonts w:ascii="宋体" w:hAnsi="宋体" w:eastAsia="宋体"/>
                <w:sz w:val="20"/>
                <w:szCs w:val="20"/>
              </w:rPr>
            </w:pPr>
            <w:r>
              <w:rPr>
                <w:rFonts w:hint="eastAsia" w:ascii="宋体" w:hAnsi="宋体" w:eastAsia="宋体"/>
                <w:sz w:val="20"/>
                <w:szCs w:val="20"/>
              </w:rPr>
              <w:t>3</w:t>
            </w:r>
            <w:r>
              <w:rPr>
                <w:rFonts w:ascii="宋体" w:hAnsi="宋体" w:eastAsia="宋体"/>
                <w:sz w:val="20"/>
                <w:szCs w:val="20"/>
              </w:rPr>
              <w:t>60</w:t>
            </w:r>
          </w:p>
        </w:tc>
        <w:tc>
          <w:tcPr>
            <w:tcW w:w="992" w:type="dxa"/>
            <w:vAlign w:val="center"/>
          </w:tcPr>
          <w:p w14:paraId="633E66D1">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3</w:t>
            </w:r>
            <w:r>
              <w:rPr>
                <w:rFonts w:hint="eastAsia" w:ascii="宋体" w:hAnsi="宋体" w:eastAsia="宋体"/>
                <w:sz w:val="20"/>
                <w:szCs w:val="20"/>
              </w:rPr>
              <w:t>%</w:t>
            </w:r>
          </w:p>
        </w:tc>
        <w:tc>
          <w:tcPr>
            <w:tcW w:w="1276" w:type="dxa"/>
            <w:vAlign w:val="center"/>
          </w:tcPr>
          <w:p w14:paraId="4C7ADD77">
            <w:pPr>
              <w:jc w:val="center"/>
              <w:rPr>
                <w:rFonts w:ascii="宋体" w:hAnsi="宋体" w:eastAsia="宋体"/>
                <w:sz w:val="20"/>
                <w:szCs w:val="20"/>
              </w:rPr>
            </w:pPr>
            <w:r>
              <w:rPr>
                <w:rFonts w:hint="eastAsia" w:ascii="宋体" w:hAnsi="宋体" w:eastAsia="宋体"/>
                <w:sz w:val="20"/>
                <w:szCs w:val="20"/>
              </w:rPr>
              <w:t>-</w:t>
            </w:r>
          </w:p>
        </w:tc>
        <w:tc>
          <w:tcPr>
            <w:tcW w:w="1275" w:type="dxa"/>
            <w:vAlign w:val="center"/>
          </w:tcPr>
          <w:p w14:paraId="3845E758">
            <w:pPr>
              <w:jc w:val="center"/>
              <w:rPr>
                <w:rFonts w:ascii="宋体" w:hAnsi="宋体" w:eastAsia="宋体"/>
                <w:sz w:val="20"/>
                <w:szCs w:val="20"/>
              </w:rPr>
            </w:pPr>
            <w:r>
              <w:rPr>
                <w:rFonts w:hint="eastAsia" w:ascii="宋体" w:hAnsi="宋体" w:eastAsia="宋体"/>
                <w:sz w:val="20"/>
                <w:szCs w:val="20"/>
              </w:rPr>
              <w:t>8</w:t>
            </w:r>
            <w:r>
              <w:rPr>
                <w:rFonts w:ascii="宋体" w:hAnsi="宋体" w:eastAsia="宋体"/>
                <w:sz w:val="20"/>
                <w:szCs w:val="20"/>
              </w:rPr>
              <w:t>.6</w:t>
            </w:r>
            <w:r>
              <w:rPr>
                <w:rFonts w:hint="eastAsia" w:ascii="宋体" w:hAnsi="宋体" w:eastAsia="宋体"/>
                <w:sz w:val="20"/>
                <w:szCs w:val="20"/>
              </w:rPr>
              <w:t>%</w:t>
            </w:r>
          </w:p>
        </w:tc>
        <w:tc>
          <w:tcPr>
            <w:tcW w:w="851" w:type="dxa"/>
            <w:noWrap/>
            <w:vAlign w:val="center"/>
          </w:tcPr>
          <w:p w14:paraId="590CA017">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0A172CA9">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2421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737" w:type="dxa"/>
            <w:gridSpan w:val="2"/>
            <w:vAlign w:val="bottom"/>
          </w:tcPr>
          <w:p w14:paraId="0AB28606">
            <w:pPr>
              <w:adjustRightInd w:val="0"/>
              <w:snapToGrid w:val="0"/>
              <w:spacing w:line="360" w:lineRule="auto"/>
              <w:jc w:val="left"/>
              <w:rPr>
                <w:rFonts w:ascii="宋体" w:hAnsi="宋体" w:cs="仿宋_GB2312"/>
                <w:kern w:val="0"/>
                <w:sz w:val="20"/>
                <w:szCs w:val="20"/>
              </w:rPr>
            </w:pPr>
            <w:r>
              <w:rPr>
                <w:rFonts w:hint="eastAsia" w:ascii="宋体" w:hAnsi="宋体" w:cs="仿宋_GB2312"/>
                <w:kern w:val="0"/>
                <w:sz w:val="20"/>
                <w:szCs w:val="20"/>
              </w:rPr>
              <w:t>城镇化水平（%）</w:t>
            </w:r>
          </w:p>
        </w:tc>
        <w:tc>
          <w:tcPr>
            <w:tcW w:w="1397" w:type="dxa"/>
            <w:vAlign w:val="bottom"/>
          </w:tcPr>
          <w:p w14:paraId="2BDD09BC">
            <w:pPr>
              <w:jc w:val="center"/>
              <w:rPr>
                <w:rFonts w:ascii="宋体" w:hAnsi="宋体" w:eastAsia="宋体"/>
                <w:sz w:val="20"/>
                <w:szCs w:val="20"/>
              </w:rPr>
            </w:pPr>
            <w:r>
              <w:rPr>
                <w:rFonts w:ascii="宋体" w:hAnsi="宋体" w:eastAsia="宋体"/>
                <w:sz w:val="20"/>
                <w:szCs w:val="20"/>
              </w:rPr>
              <w:t>74.71</w:t>
            </w:r>
          </w:p>
        </w:tc>
        <w:tc>
          <w:tcPr>
            <w:tcW w:w="993" w:type="dxa"/>
            <w:vAlign w:val="bottom"/>
          </w:tcPr>
          <w:p w14:paraId="7F051951">
            <w:pPr>
              <w:jc w:val="center"/>
              <w:rPr>
                <w:rFonts w:ascii="宋体" w:hAnsi="宋体" w:eastAsia="宋体"/>
                <w:sz w:val="20"/>
                <w:szCs w:val="20"/>
              </w:rPr>
            </w:pPr>
            <w:r>
              <w:rPr>
                <w:rFonts w:ascii="宋体" w:hAnsi="宋体" w:eastAsia="宋体"/>
                <w:sz w:val="20"/>
                <w:szCs w:val="20"/>
              </w:rPr>
              <w:t>76.7</w:t>
            </w:r>
          </w:p>
        </w:tc>
        <w:tc>
          <w:tcPr>
            <w:tcW w:w="992" w:type="dxa"/>
            <w:vAlign w:val="bottom"/>
          </w:tcPr>
          <w:p w14:paraId="6B57B04E">
            <w:pPr>
              <w:jc w:val="center"/>
              <w:rPr>
                <w:rFonts w:ascii="宋体" w:hAnsi="宋体" w:eastAsia="宋体"/>
                <w:sz w:val="20"/>
                <w:szCs w:val="20"/>
              </w:rPr>
            </w:pPr>
            <w:r>
              <w:rPr>
                <w:rFonts w:hint="eastAsia" w:ascii="宋体" w:hAnsi="宋体" w:eastAsia="宋体"/>
                <w:sz w:val="20"/>
                <w:szCs w:val="20"/>
              </w:rPr>
              <w:t>-</w:t>
            </w:r>
          </w:p>
        </w:tc>
        <w:tc>
          <w:tcPr>
            <w:tcW w:w="1276" w:type="dxa"/>
          </w:tcPr>
          <w:p w14:paraId="6E6A4050">
            <w:pPr>
              <w:jc w:val="center"/>
              <w:rPr>
                <w:rFonts w:ascii="宋体" w:hAnsi="宋体" w:eastAsia="宋体"/>
                <w:sz w:val="20"/>
                <w:szCs w:val="20"/>
              </w:rPr>
            </w:pPr>
            <w:r>
              <w:rPr>
                <w:rFonts w:hint="eastAsia" w:ascii="宋体" w:hAnsi="宋体"/>
                <w:kern w:val="0"/>
                <w:sz w:val="20"/>
                <w:szCs w:val="20"/>
              </w:rPr>
              <w:t>待七人普数据下</w:t>
            </w:r>
            <w:r>
              <w:rPr>
                <w:rFonts w:hint="eastAsia" w:ascii="宋体" w:hAnsi="宋体" w:eastAsia="宋体"/>
                <w:sz w:val="20"/>
                <w:szCs w:val="20"/>
              </w:rPr>
              <w:t>（预计数）</w:t>
            </w:r>
          </w:p>
        </w:tc>
        <w:tc>
          <w:tcPr>
            <w:tcW w:w="1275" w:type="dxa"/>
            <w:vAlign w:val="center"/>
          </w:tcPr>
          <w:p w14:paraId="14AD3933">
            <w:pPr>
              <w:rPr>
                <w:rFonts w:ascii="宋体" w:hAnsi="宋体" w:eastAsia="宋体"/>
                <w:sz w:val="20"/>
                <w:szCs w:val="20"/>
              </w:rPr>
            </w:pPr>
          </w:p>
        </w:tc>
        <w:tc>
          <w:tcPr>
            <w:tcW w:w="851" w:type="dxa"/>
            <w:noWrap/>
            <w:vAlign w:val="center"/>
          </w:tcPr>
          <w:p w14:paraId="6D16720B">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257DEB78">
            <w:pPr>
              <w:adjustRightInd w:val="0"/>
              <w:snapToGrid w:val="0"/>
              <w:spacing w:line="360" w:lineRule="auto"/>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5DEE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3" w:type="dxa"/>
            <w:gridSpan w:val="9"/>
          </w:tcPr>
          <w:p w14:paraId="6C3B54E4">
            <w:pPr>
              <w:rPr>
                <w:b/>
                <w:sz w:val="20"/>
                <w:szCs w:val="20"/>
              </w:rPr>
            </w:pPr>
            <w:r>
              <w:rPr>
                <w:rFonts w:hint="eastAsia"/>
                <w:b/>
                <w:sz w:val="20"/>
                <w:szCs w:val="20"/>
              </w:rPr>
              <w:t>二、社会发展</w:t>
            </w:r>
          </w:p>
        </w:tc>
      </w:tr>
      <w:tr w14:paraId="27CF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737" w:type="dxa"/>
            <w:gridSpan w:val="2"/>
            <w:vAlign w:val="center"/>
          </w:tcPr>
          <w:p w14:paraId="00AFDB19">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全体居民人均可支配收入（元）</w:t>
            </w:r>
          </w:p>
        </w:tc>
        <w:tc>
          <w:tcPr>
            <w:tcW w:w="1397" w:type="dxa"/>
            <w:vAlign w:val="center"/>
          </w:tcPr>
          <w:p w14:paraId="7FEDAFBD">
            <w:pPr>
              <w:jc w:val="center"/>
              <w:rPr>
                <w:rFonts w:ascii="宋体" w:hAnsi="宋体" w:eastAsia="宋体"/>
                <w:sz w:val="20"/>
                <w:szCs w:val="20"/>
              </w:rPr>
            </w:pPr>
            <w:r>
              <w:rPr>
                <w:rFonts w:ascii="宋体" w:hAnsi="宋体" w:eastAsia="宋体"/>
                <w:sz w:val="20"/>
                <w:szCs w:val="20"/>
              </w:rPr>
              <w:t>19397.4</w:t>
            </w:r>
          </w:p>
        </w:tc>
        <w:tc>
          <w:tcPr>
            <w:tcW w:w="993" w:type="dxa"/>
            <w:vAlign w:val="center"/>
          </w:tcPr>
          <w:p w14:paraId="3F5999AB">
            <w:pPr>
              <w:jc w:val="center"/>
              <w:rPr>
                <w:rFonts w:ascii="宋体" w:hAnsi="宋体" w:eastAsia="宋体"/>
                <w:sz w:val="20"/>
                <w:szCs w:val="20"/>
              </w:rPr>
            </w:pPr>
            <w:r>
              <w:rPr>
                <w:rFonts w:hint="eastAsia" w:ascii="宋体" w:hAnsi="宋体" w:eastAsia="宋体"/>
                <w:sz w:val="20"/>
                <w:szCs w:val="20"/>
              </w:rPr>
              <w:t>-</w:t>
            </w:r>
          </w:p>
        </w:tc>
        <w:tc>
          <w:tcPr>
            <w:tcW w:w="992" w:type="dxa"/>
          </w:tcPr>
          <w:p w14:paraId="5C3AEF16">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r>
              <w:rPr>
                <w:rFonts w:hint="eastAsia" w:ascii="宋体" w:hAnsi="宋体" w:eastAsia="宋体"/>
                <w:sz w:val="20"/>
                <w:szCs w:val="20"/>
              </w:rPr>
              <w:t>%</w:t>
            </w:r>
          </w:p>
        </w:tc>
        <w:tc>
          <w:tcPr>
            <w:tcW w:w="1276" w:type="dxa"/>
            <w:vAlign w:val="center"/>
          </w:tcPr>
          <w:p w14:paraId="7AE706B0">
            <w:pPr>
              <w:jc w:val="center"/>
              <w:rPr>
                <w:rFonts w:ascii="宋体" w:hAnsi="宋体" w:eastAsia="宋体"/>
                <w:sz w:val="20"/>
                <w:szCs w:val="20"/>
              </w:rPr>
            </w:pPr>
            <w:r>
              <w:rPr>
                <w:rFonts w:ascii="宋体" w:hAnsi="宋体" w:eastAsia="宋体"/>
                <w:sz w:val="20"/>
                <w:szCs w:val="20"/>
              </w:rPr>
              <w:t>26</w:t>
            </w:r>
            <w:r>
              <w:rPr>
                <w:rFonts w:hint="eastAsia" w:ascii="宋体" w:hAnsi="宋体" w:eastAsia="宋体"/>
                <w:sz w:val="20"/>
                <w:szCs w:val="20"/>
              </w:rPr>
              <w:t>393</w:t>
            </w:r>
          </w:p>
        </w:tc>
        <w:tc>
          <w:tcPr>
            <w:tcW w:w="1275" w:type="dxa"/>
            <w:vAlign w:val="center"/>
          </w:tcPr>
          <w:p w14:paraId="6BC0D0E8">
            <w:pPr>
              <w:jc w:val="center"/>
              <w:rPr>
                <w:rFonts w:ascii="宋体" w:hAnsi="宋体" w:eastAsia="宋体"/>
                <w:sz w:val="20"/>
                <w:szCs w:val="20"/>
              </w:rPr>
            </w:pPr>
            <w:r>
              <w:rPr>
                <w:rFonts w:hint="eastAsia" w:ascii="宋体" w:hAnsi="宋体" w:eastAsia="宋体"/>
                <w:sz w:val="20"/>
                <w:szCs w:val="20"/>
              </w:rPr>
              <w:t>6</w:t>
            </w:r>
            <w:r>
              <w:rPr>
                <w:rFonts w:ascii="宋体" w:hAnsi="宋体" w:eastAsia="宋体"/>
                <w:sz w:val="20"/>
                <w:szCs w:val="20"/>
              </w:rPr>
              <w:t>.4</w:t>
            </w:r>
            <w:r>
              <w:rPr>
                <w:rFonts w:hint="eastAsia" w:ascii="宋体" w:hAnsi="宋体" w:eastAsia="宋体"/>
                <w:sz w:val="20"/>
                <w:szCs w:val="20"/>
              </w:rPr>
              <w:t>%</w:t>
            </w:r>
          </w:p>
        </w:tc>
        <w:tc>
          <w:tcPr>
            <w:tcW w:w="851" w:type="dxa"/>
            <w:noWrap/>
            <w:vAlign w:val="center"/>
          </w:tcPr>
          <w:p w14:paraId="08434D62">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787DAF87">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2198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737" w:type="dxa"/>
            <w:gridSpan w:val="2"/>
            <w:vAlign w:val="center"/>
          </w:tcPr>
          <w:p w14:paraId="00433519">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城镇登记失业率（</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3FA2EF5B">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p>
        </w:tc>
        <w:tc>
          <w:tcPr>
            <w:tcW w:w="993" w:type="dxa"/>
            <w:vAlign w:val="center"/>
          </w:tcPr>
          <w:p w14:paraId="4A67D8DB">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p>
        </w:tc>
        <w:tc>
          <w:tcPr>
            <w:tcW w:w="992" w:type="dxa"/>
          </w:tcPr>
          <w:p w14:paraId="3189EF79">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30163556">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p>
        </w:tc>
        <w:tc>
          <w:tcPr>
            <w:tcW w:w="1275" w:type="dxa"/>
            <w:vAlign w:val="center"/>
          </w:tcPr>
          <w:p w14:paraId="1ED2BBD7">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5CE69003">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795A1182">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p w14:paraId="3068847B">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区人社局</w:t>
            </w:r>
          </w:p>
        </w:tc>
      </w:tr>
      <w:tr w14:paraId="4BD4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6795F992">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城镇新增就业岗位累计（万人）</w:t>
            </w:r>
          </w:p>
        </w:tc>
        <w:tc>
          <w:tcPr>
            <w:tcW w:w="1397" w:type="dxa"/>
            <w:vAlign w:val="center"/>
          </w:tcPr>
          <w:p w14:paraId="35CC613E">
            <w:pPr>
              <w:jc w:val="center"/>
              <w:rPr>
                <w:rFonts w:ascii="宋体" w:hAnsi="宋体" w:eastAsia="宋体"/>
                <w:sz w:val="20"/>
                <w:szCs w:val="20"/>
              </w:rPr>
            </w:pPr>
            <w:r>
              <w:rPr>
                <w:rFonts w:ascii="宋体" w:hAnsi="宋体" w:eastAsia="宋体"/>
                <w:sz w:val="20"/>
                <w:szCs w:val="20"/>
              </w:rPr>
              <w:t>0.3905</w:t>
            </w:r>
          </w:p>
        </w:tc>
        <w:tc>
          <w:tcPr>
            <w:tcW w:w="993" w:type="dxa"/>
            <w:vAlign w:val="center"/>
          </w:tcPr>
          <w:p w14:paraId="6347B539">
            <w:pPr>
              <w:jc w:val="center"/>
              <w:rPr>
                <w:rFonts w:ascii="宋体" w:hAnsi="宋体" w:eastAsia="宋体"/>
                <w:sz w:val="20"/>
                <w:szCs w:val="20"/>
              </w:rPr>
            </w:pPr>
            <w:r>
              <w:rPr>
                <w:rFonts w:hint="eastAsia" w:ascii="宋体" w:hAnsi="宋体" w:eastAsia="宋体"/>
                <w:sz w:val="20"/>
                <w:szCs w:val="20"/>
              </w:rPr>
              <w:t>1.6</w:t>
            </w:r>
          </w:p>
        </w:tc>
        <w:tc>
          <w:tcPr>
            <w:tcW w:w="992" w:type="dxa"/>
          </w:tcPr>
          <w:p w14:paraId="53006678">
            <w:pPr>
              <w:jc w:val="center"/>
              <w:rPr>
                <w:rFonts w:ascii="宋体" w:hAnsi="宋体" w:eastAsia="宋体"/>
                <w:sz w:val="20"/>
                <w:szCs w:val="20"/>
              </w:rPr>
            </w:pPr>
            <w:r>
              <w:rPr>
                <w:rFonts w:hint="eastAsia" w:ascii="宋体" w:hAnsi="宋体" w:eastAsia="宋体"/>
                <w:sz w:val="20"/>
                <w:szCs w:val="20"/>
              </w:rPr>
              <w:t>23.2%</w:t>
            </w:r>
          </w:p>
        </w:tc>
        <w:tc>
          <w:tcPr>
            <w:tcW w:w="1276" w:type="dxa"/>
            <w:vAlign w:val="center"/>
          </w:tcPr>
          <w:p w14:paraId="309F50CC">
            <w:pPr>
              <w:jc w:val="center"/>
              <w:rPr>
                <w:rFonts w:ascii="宋体" w:hAnsi="宋体" w:eastAsia="宋体"/>
                <w:sz w:val="20"/>
                <w:szCs w:val="20"/>
              </w:rPr>
            </w:pPr>
            <w:r>
              <w:rPr>
                <w:rFonts w:hint="eastAsia" w:ascii="宋体" w:hAnsi="宋体" w:eastAsia="宋体"/>
                <w:sz w:val="20"/>
                <w:szCs w:val="20"/>
              </w:rPr>
              <w:t>1.7</w:t>
            </w:r>
          </w:p>
        </w:tc>
        <w:tc>
          <w:tcPr>
            <w:tcW w:w="1275" w:type="dxa"/>
            <w:vAlign w:val="center"/>
          </w:tcPr>
          <w:p w14:paraId="537EF8C6">
            <w:pPr>
              <w:jc w:val="center"/>
              <w:rPr>
                <w:rFonts w:ascii="宋体" w:hAnsi="宋体" w:eastAsia="宋体"/>
                <w:sz w:val="20"/>
                <w:szCs w:val="20"/>
              </w:rPr>
            </w:pPr>
            <w:r>
              <w:rPr>
                <w:rFonts w:hint="eastAsia" w:ascii="宋体" w:hAnsi="宋体" w:eastAsia="宋体"/>
                <w:sz w:val="20"/>
                <w:szCs w:val="20"/>
              </w:rPr>
              <w:t>27.7%</w:t>
            </w:r>
          </w:p>
        </w:tc>
        <w:tc>
          <w:tcPr>
            <w:tcW w:w="851" w:type="dxa"/>
            <w:noWrap/>
            <w:vAlign w:val="center"/>
          </w:tcPr>
          <w:p w14:paraId="42A9E621">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0055F4FD">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1EB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1A95A39A">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转移农业劳动力累计（万人）</w:t>
            </w:r>
          </w:p>
        </w:tc>
        <w:tc>
          <w:tcPr>
            <w:tcW w:w="1397" w:type="dxa"/>
            <w:vAlign w:val="center"/>
          </w:tcPr>
          <w:p w14:paraId="2CA07D8A">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14:paraId="04F5ABAE">
            <w:pPr>
              <w:jc w:val="center"/>
              <w:rPr>
                <w:rFonts w:ascii="宋体" w:hAnsi="宋体" w:eastAsia="宋体"/>
                <w:sz w:val="20"/>
                <w:szCs w:val="20"/>
              </w:rPr>
            </w:pPr>
            <w:r>
              <w:rPr>
                <w:rFonts w:ascii="宋体" w:hAnsi="宋体" w:eastAsia="宋体"/>
                <w:sz w:val="20"/>
                <w:szCs w:val="20"/>
              </w:rPr>
              <w:t>4.6</w:t>
            </w:r>
          </w:p>
        </w:tc>
        <w:tc>
          <w:tcPr>
            <w:tcW w:w="992" w:type="dxa"/>
          </w:tcPr>
          <w:p w14:paraId="2723266B">
            <w:pPr>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4.7</w:t>
            </w:r>
            <w:r>
              <w:rPr>
                <w:rFonts w:hint="eastAsia" w:ascii="宋体" w:hAnsi="宋体" w:eastAsia="宋体"/>
                <w:sz w:val="20"/>
                <w:szCs w:val="20"/>
              </w:rPr>
              <w:t>%</w:t>
            </w:r>
          </w:p>
        </w:tc>
        <w:tc>
          <w:tcPr>
            <w:tcW w:w="1276" w:type="dxa"/>
            <w:vAlign w:val="center"/>
          </w:tcPr>
          <w:p w14:paraId="5196CD2A">
            <w:pPr>
              <w:jc w:val="center"/>
              <w:rPr>
                <w:rFonts w:ascii="宋体" w:hAnsi="宋体" w:eastAsia="宋体"/>
                <w:sz w:val="20"/>
                <w:szCs w:val="20"/>
              </w:rPr>
            </w:pPr>
            <w:r>
              <w:rPr>
                <w:rFonts w:hint="eastAsia" w:ascii="宋体" w:hAnsi="宋体" w:eastAsia="宋体"/>
                <w:sz w:val="20"/>
                <w:szCs w:val="20"/>
              </w:rPr>
              <w:t>-</w:t>
            </w:r>
          </w:p>
        </w:tc>
        <w:tc>
          <w:tcPr>
            <w:tcW w:w="1275" w:type="dxa"/>
            <w:vAlign w:val="center"/>
          </w:tcPr>
          <w:p w14:paraId="29D0E1A9">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7D99106E">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07A54889">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2E1F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6C8A7DEB">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高等教育毛入学率（</w:t>
            </w: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7055E70F">
            <w:pPr>
              <w:jc w:val="center"/>
              <w:rPr>
                <w:rFonts w:ascii="宋体" w:hAnsi="宋体"/>
                <w:kern w:val="0"/>
                <w:sz w:val="20"/>
                <w:szCs w:val="20"/>
              </w:rPr>
            </w:pPr>
            <w:r>
              <w:rPr>
                <w:rFonts w:ascii="宋体" w:hAnsi="宋体"/>
                <w:kern w:val="0"/>
                <w:sz w:val="20"/>
                <w:szCs w:val="20"/>
              </w:rPr>
              <w:t>36.5</w:t>
            </w:r>
          </w:p>
        </w:tc>
        <w:tc>
          <w:tcPr>
            <w:tcW w:w="993" w:type="dxa"/>
            <w:vAlign w:val="center"/>
          </w:tcPr>
          <w:p w14:paraId="36504725">
            <w:pPr>
              <w:jc w:val="center"/>
              <w:rPr>
                <w:rFonts w:ascii="宋体" w:hAnsi="宋体"/>
                <w:kern w:val="0"/>
                <w:sz w:val="20"/>
                <w:szCs w:val="20"/>
              </w:rPr>
            </w:pPr>
            <w:r>
              <w:rPr>
                <w:rFonts w:ascii="宋体" w:hAnsi="宋体"/>
                <w:kern w:val="0"/>
                <w:sz w:val="20"/>
                <w:szCs w:val="20"/>
              </w:rPr>
              <w:t>40</w:t>
            </w:r>
          </w:p>
        </w:tc>
        <w:tc>
          <w:tcPr>
            <w:tcW w:w="992" w:type="dxa"/>
          </w:tcPr>
          <w:p w14:paraId="6E0E70C9">
            <w:pPr>
              <w:jc w:val="center"/>
              <w:rPr>
                <w:rFonts w:ascii="宋体" w:hAnsi="宋体"/>
                <w:kern w:val="0"/>
                <w:sz w:val="20"/>
                <w:szCs w:val="20"/>
              </w:rPr>
            </w:pPr>
            <w:r>
              <w:rPr>
                <w:rFonts w:hint="eastAsia" w:ascii="宋体" w:hAnsi="宋体"/>
                <w:kern w:val="0"/>
                <w:sz w:val="20"/>
                <w:szCs w:val="20"/>
              </w:rPr>
              <w:t>-</w:t>
            </w:r>
          </w:p>
        </w:tc>
        <w:tc>
          <w:tcPr>
            <w:tcW w:w="1276" w:type="dxa"/>
            <w:vAlign w:val="center"/>
          </w:tcPr>
          <w:p w14:paraId="67C84FC7">
            <w:pPr>
              <w:jc w:val="center"/>
              <w:rPr>
                <w:rFonts w:ascii="宋体" w:hAnsi="宋体"/>
                <w:kern w:val="0"/>
                <w:sz w:val="20"/>
                <w:szCs w:val="20"/>
              </w:rPr>
            </w:pPr>
            <w:r>
              <w:rPr>
                <w:rFonts w:ascii="宋体" w:hAnsi="宋体"/>
                <w:kern w:val="0"/>
                <w:sz w:val="20"/>
                <w:szCs w:val="20"/>
              </w:rPr>
              <w:t>50.1</w:t>
            </w:r>
          </w:p>
        </w:tc>
        <w:tc>
          <w:tcPr>
            <w:tcW w:w="1275" w:type="dxa"/>
            <w:vAlign w:val="center"/>
          </w:tcPr>
          <w:p w14:paraId="0175865F">
            <w:pPr>
              <w:jc w:val="center"/>
              <w:rPr>
                <w:rFonts w:ascii="宋体" w:hAnsi="宋体"/>
                <w:kern w:val="0"/>
                <w:sz w:val="20"/>
                <w:szCs w:val="20"/>
              </w:rPr>
            </w:pPr>
            <w:r>
              <w:rPr>
                <w:rFonts w:ascii="宋体" w:hAnsi="宋体"/>
                <w:kern w:val="0"/>
                <w:sz w:val="20"/>
                <w:szCs w:val="20"/>
              </w:rPr>
              <w:t>[13.6]</w:t>
            </w:r>
          </w:p>
        </w:tc>
        <w:tc>
          <w:tcPr>
            <w:tcW w:w="851" w:type="dxa"/>
            <w:noWrap/>
            <w:vAlign w:val="center"/>
          </w:tcPr>
          <w:p w14:paraId="0113B55F">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预期性</w:t>
            </w:r>
          </w:p>
        </w:tc>
        <w:tc>
          <w:tcPr>
            <w:tcW w:w="672" w:type="dxa"/>
          </w:tcPr>
          <w:p w14:paraId="26BFDA01">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C33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661ECBC9">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高中阶段教育毛入学率（</w:t>
            </w: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1DF66ADC">
            <w:pPr>
              <w:jc w:val="center"/>
              <w:rPr>
                <w:rFonts w:ascii="宋体" w:hAnsi="宋体" w:eastAsia="宋体"/>
                <w:sz w:val="20"/>
                <w:szCs w:val="20"/>
              </w:rPr>
            </w:pPr>
            <w:r>
              <w:rPr>
                <w:rFonts w:ascii="宋体" w:hAnsi="宋体" w:eastAsia="宋体"/>
                <w:sz w:val="20"/>
                <w:szCs w:val="20"/>
              </w:rPr>
              <w:t>93.67</w:t>
            </w:r>
          </w:p>
        </w:tc>
        <w:tc>
          <w:tcPr>
            <w:tcW w:w="993" w:type="dxa"/>
            <w:vAlign w:val="center"/>
          </w:tcPr>
          <w:p w14:paraId="0BE24A72">
            <w:pPr>
              <w:jc w:val="center"/>
              <w:rPr>
                <w:rFonts w:ascii="宋体" w:hAnsi="宋体"/>
                <w:kern w:val="0"/>
                <w:sz w:val="20"/>
                <w:szCs w:val="20"/>
              </w:rPr>
            </w:pPr>
            <w:r>
              <w:rPr>
                <w:rFonts w:ascii="宋体" w:hAnsi="宋体"/>
                <w:kern w:val="0"/>
                <w:sz w:val="20"/>
                <w:szCs w:val="20"/>
              </w:rPr>
              <w:t>93</w:t>
            </w:r>
            <w:r>
              <w:rPr>
                <w:rFonts w:hint="eastAsia" w:ascii="宋体" w:hAnsi="宋体"/>
                <w:kern w:val="0"/>
                <w:sz w:val="20"/>
                <w:szCs w:val="20"/>
              </w:rPr>
              <w:t>以上</w:t>
            </w:r>
          </w:p>
        </w:tc>
        <w:tc>
          <w:tcPr>
            <w:tcW w:w="992" w:type="dxa"/>
          </w:tcPr>
          <w:p w14:paraId="70121DB6">
            <w:pPr>
              <w:jc w:val="center"/>
              <w:rPr>
                <w:rFonts w:ascii="宋体" w:hAnsi="宋体"/>
                <w:kern w:val="0"/>
                <w:sz w:val="20"/>
                <w:szCs w:val="20"/>
              </w:rPr>
            </w:pPr>
            <w:r>
              <w:rPr>
                <w:rFonts w:hint="eastAsia" w:ascii="宋体" w:hAnsi="宋体"/>
                <w:kern w:val="0"/>
                <w:sz w:val="20"/>
                <w:szCs w:val="20"/>
              </w:rPr>
              <w:t>-</w:t>
            </w:r>
          </w:p>
        </w:tc>
        <w:tc>
          <w:tcPr>
            <w:tcW w:w="1276" w:type="dxa"/>
            <w:vAlign w:val="center"/>
          </w:tcPr>
          <w:p w14:paraId="5D9C7E9A">
            <w:pPr>
              <w:jc w:val="center"/>
              <w:rPr>
                <w:rFonts w:ascii="宋体" w:hAnsi="宋体"/>
                <w:kern w:val="0"/>
                <w:sz w:val="20"/>
                <w:szCs w:val="20"/>
              </w:rPr>
            </w:pPr>
            <w:r>
              <w:rPr>
                <w:rFonts w:ascii="宋体" w:hAnsi="宋体"/>
                <w:kern w:val="0"/>
                <w:sz w:val="20"/>
                <w:szCs w:val="20"/>
              </w:rPr>
              <w:t>97.1</w:t>
            </w:r>
          </w:p>
        </w:tc>
        <w:tc>
          <w:tcPr>
            <w:tcW w:w="1275" w:type="dxa"/>
            <w:vAlign w:val="center"/>
          </w:tcPr>
          <w:p w14:paraId="742F8EAB">
            <w:pPr>
              <w:jc w:val="center"/>
              <w:rPr>
                <w:rFonts w:ascii="宋体" w:hAnsi="宋体"/>
                <w:kern w:val="0"/>
                <w:sz w:val="20"/>
                <w:szCs w:val="20"/>
              </w:rPr>
            </w:pPr>
            <w:r>
              <w:rPr>
                <w:rFonts w:ascii="宋体" w:hAnsi="宋体"/>
                <w:kern w:val="0"/>
                <w:sz w:val="20"/>
                <w:szCs w:val="20"/>
              </w:rPr>
              <w:t>[3.43]</w:t>
            </w:r>
          </w:p>
        </w:tc>
        <w:tc>
          <w:tcPr>
            <w:tcW w:w="851" w:type="dxa"/>
            <w:noWrap/>
            <w:vAlign w:val="center"/>
          </w:tcPr>
          <w:p w14:paraId="4D4CCB25">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预期性</w:t>
            </w:r>
          </w:p>
        </w:tc>
        <w:tc>
          <w:tcPr>
            <w:tcW w:w="672" w:type="dxa"/>
          </w:tcPr>
          <w:p w14:paraId="2E51CF67">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1AA2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09B5CA2D">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城镇职工养老保险参保率（</w:t>
            </w: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46AD2586">
            <w:pPr>
              <w:jc w:val="center"/>
              <w:rPr>
                <w:rFonts w:ascii="宋体" w:hAnsi="宋体" w:eastAsia="宋体"/>
                <w:sz w:val="20"/>
                <w:szCs w:val="20"/>
              </w:rPr>
            </w:pPr>
            <w:r>
              <w:rPr>
                <w:rFonts w:ascii="宋体" w:hAnsi="宋体" w:eastAsia="宋体"/>
                <w:sz w:val="20"/>
                <w:szCs w:val="20"/>
              </w:rPr>
              <w:t>100</w:t>
            </w:r>
          </w:p>
        </w:tc>
        <w:tc>
          <w:tcPr>
            <w:tcW w:w="993" w:type="dxa"/>
            <w:vAlign w:val="center"/>
          </w:tcPr>
          <w:p w14:paraId="672EC621">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80</w:t>
            </w:r>
          </w:p>
        </w:tc>
        <w:tc>
          <w:tcPr>
            <w:tcW w:w="992" w:type="dxa"/>
          </w:tcPr>
          <w:p w14:paraId="29204F64">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276" w:type="dxa"/>
            <w:vAlign w:val="center"/>
          </w:tcPr>
          <w:p w14:paraId="671090CB">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按上级下达指标执行</w:t>
            </w:r>
          </w:p>
        </w:tc>
        <w:tc>
          <w:tcPr>
            <w:tcW w:w="1275" w:type="dxa"/>
            <w:vAlign w:val="center"/>
          </w:tcPr>
          <w:p w14:paraId="6C2BB4D5">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851" w:type="dxa"/>
            <w:noWrap/>
            <w:vAlign w:val="center"/>
          </w:tcPr>
          <w:p w14:paraId="7AA0EDD9">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预期性</w:t>
            </w:r>
          </w:p>
        </w:tc>
        <w:tc>
          <w:tcPr>
            <w:tcW w:w="672" w:type="dxa"/>
          </w:tcPr>
          <w:p w14:paraId="164C1618">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40BD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7DD04887">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城乡居民基本养老保险参保率（</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74B365AE">
            <w:pPr>
              <w:jc w:val="center"/>
              <w:rPr>
                <w:rFonts w:ascii="宋体" w:hAnsi="宋体" w:eastAsia="宋体"/>
                <w:sz w:val="20"/>
                <w:szCs w:val="20"/>
              </w:rPr>
            </w:pPr>
            <w:r>
              <w:rPr>
                <w:rFonts w:ascii="宋体" w:hAnsi="宋体" w:eastAsia="宋体"/>
                <w:sz w:val="20"/>
                <w:szCs w:val="20"/>
              </w:rPr>
              <w:t>100</w:t>
            </w:r>
          </w:p>
        </w:tc>
        <w:tc>
          <w:tcPr>
            <w:tcW w:w="993" w:type="dxa"/>
            <w:vAlign w:val="center"/>
          </w:tcPr>
          <w:p w14:paraId="24F2221D">
            <w:pPr>
              <w:jc w:val="center"/>
              <w:rPr>
                <w:rFonts w:ascii="宋体" w:hAnsi="宋体" w:eastAsia="宋体"/>
                <w:sz w:val="20"/>
                <w:szCs w:val="20"/>
              </w:rPr>
            </w:pPr>
            <w:r>
              <w:rPr>
                <w:rFonts w:ascii="宋体" w:hAnsi="宋体" w:eastAsia="宋体"/>
                <w:sz w:val="20"/>
                <w:szCs w:val="20"/>
              </w:rPr>
              <w:t>100</w:t>
            </w:r>
          </w:p>
        </w:tc>
        <w:tc>
          <w:tcPr>
            <w:tcW w:w="992" w:type="dxa"/>
          </w:tcPr>
          <w:p w14:paraId="65BBBCFA">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5EC58B40">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按上级下达指标执行</w:t>
            </w:r>
          </w:p>
        </w:tc>
        <w:tc>
          <w:tcPr>
            <w:tcW w:w="1275" w:type="dxa"/>
            <w:vAlign w:val="center"/>
          </w:tcPr>
          <w:p w14:paraId="04041BFE">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2A477881">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117EB701">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44DE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05435562">
            <w:pPr>
              <w:adjustRightInd w:val="0"/>
              <w:snapToGrid w:val="0"/>
              <w:jc w:val="left"/>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城乡居民基本医疗保险参保率（</w:t>
            </w:r>
            <w:r>
              <w:rPr>
                <w:rFonts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5AC121B2">
            <w:pPr>
              <w:jc w:val="center"/>
              <w:rPr>
                <w:rFonts w:ascii="宋体" w:hAnsi="宋体" w:eastAsia="宋体"/>
                <w:sz w:val="20"/>
                <w:szCs w:val="20"/>
              </w:rPr>
            </w:pPr>
            <w:r>
              <w:rPr>
                <w:rFonts w:ascii="宋体" w:hAnsi="宋体" w:eastAsia="宋体"/>
                <w:sz w:val="20"/>
                <w:szCs w:val="20"/>
              </w:rPr>
              <w:t>100</w:t>
            </w:r>
          </w:p>
        </w:tc>
        <w:tc>
          <w:tcPr>
            <w:tcW w:w="993" w:type="dxa"/>
            <w:vAlign w:val="center"/>
          </w:tcPr>
          <w:p w14:paraId="3721B1FC">
            <w:pPr>
              <w:jc w:val="center"/>
              <w:rPr>
                <w:rFonts w:ascii="宋体" w:hAnsi="宋体" w:eastAsia="宋体"/>
                <w:sz w:val="20"/>
                <w:szCs w:val="20"/>
              </w:rPr>
            </w:pPr>
            <w:r>
              <w:rPr>
                <w:rFonts w:ascii="宋体" w:hAnsi="宋体" w:eastAsia="宋体"/>
                <w:sz w:val="20"/>
                <w:szCs w:val="20"/>
              </w:rPr>
              <w:t>100</w:t>
            </w:r>
          </w:p>
        </w:tc>
        <w:tc>
          <w:tcPr>
            <w:tcW w:w="992" w:type="dxa"/>
          </w:tcPr>
          <w:p w14:paraId="3D6C9216">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1DC07F19">
            <w:pPr>
              <w:adjustRightInd w:val="0"/>
              <w:snapToGrid w:val="0"/>
              <w:jc w:val="distribute"/>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按上级下达指标执行</w:t>
            </w:r>
          </w:p>
        </w:tc>
        <w:tc>
          <w:tcPr>
            <w:tcW w:w="1275" w:type="dxa"/>
            <w:vAlign w:val="center"/>
          </w:tcPr>
          <w:p w14:paraId="6B07B410">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2CD634A2">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2A2A9861">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7D02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142D6F1B">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常住人口（万人）</w:t>
            </w:r>
          </w:p>
        </w:tc>
        <w:tc>
          <w:tcPr>
            <w:tcW w:w="1397" w:type="dxa"/>
            <w:vAlign w:val="center"/>
          </w:tcPr>
          <w:p w14:paraId="35B45A57">
            <w:pPr>
              <w:jc w:val="center"/>
              <w:rPr>
                <w:rFonts w:ascii="宋体" w:hAnsi="宋体" w:eastAsia="宋体"/>
                <w:sz w:val="20"/>
                <w:szCs w:val="20"/>
              </w:rPr>
            </w:pPr>
            <w:r>
              <w:rPr>
                <w:rFonts w:ascii="宋体" w:hAnsi="宋体" w:eastAsia="宋体"/>
                <w:sz w:val="20"/>
                <w:szCs w:val="20"/>
              </w:rPr>
              <w:t>36.95</w:t>
            </w:r>
          </w:p>
        </w:tc>
        <w:tc>
          <w:tcPr>
            <w:tcW w:w="993" w:type="dxa"/>
            <w:vAlign w:val="center"/>
          </w:tcPr>
          <w:p w14:paraId="6F6BE97A">
            <w:pPr>
              <w:jc w:val="center"/>
              <w:rPr>
                <w:rFonts w:ascii="宋体" w:hAnsi="宋体" w:eastAsia="宋体"/>
                <w:sz w:val="20"/>
                <w:szCs w:val="20"/>
              </w:rPr>
            </w:pPr>
            <w:r>
              <w:rPr>
                <w:rFonts w:ascii="宋体" w:hAnsi="宋体" w:eastAsia="宋体"/>
                <w:sz w:val="20"/>
                <w:szCs w:val="20"/>
              </w:rPr>
              <w:t>41.98</w:t>
            </w:r>
          </w:p>
        </w:tc>
        <w:tc>
          <w:tcPr>
            <w:tcW w:w="992" w:type="dxa"/>
          </w:tcPr>
          <w:p w14:paraId="579A1D3A">
            <w:pPr>
              <w:jc w:val="center"/>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.6</w:t>
            </w:r>
            <w:r>
              <w:rPr>
                <w:rFonts w:hint="eastAsia" w:ascii="宋体" w:hAnsi="宋体" w:eastAsia="宋体"/>
                <w:sz w:val="20"/>
                <w:szCs w:val="20"/>
              </w:rPr>
              <w:t>%</w:t>
            </w:r>
          </w:p>
        </w:tc>
        <w:tc>
          <w:tcPr>
            <w:tcW w:w="1276" w:type="dxa"/>
            <w:vAlign w:val="center"/>
          </w:tcPr>
          <w:p w14:paraId="45CEBA13">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待七人普数据下核</w:t>
            </w:r>
          </w:p>
        </w:tc>
        <w:tc>
          <w:tcPr>
            <w:tcW w:w="1275" w:type="dxa"/>
            <w:vAlign w:val="center"/>
          </w:tcPr>
          <w:p w14:paraId="2009361D">
            <w:pPr>
              <w:jc w:val="center"/>
              <w:rPr>
                <w:rFonts w:ascii="宋体" w:hAnsi="宋体" w:eastAsia="宋体"/>
                <w:sz w:val="20"/>
                <w:szCs w:val="20"/>
              </w:rPr>
            </w:pPr>
          </w:p>
        </w:tc>
        <w:tc>
          <w:tcPr>
            <w:tcW w:w="851" w:type="dxa"/>
            <w:noWrap/>
            <w:vAlign w:val="center"/>
          </w:tcPr>
          <w:p w14:paraId="58CEE40D">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6DFC26B7">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69A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050BC2C8">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人口自然增长率（‰）</w:t>
            </w:r>
          </w:p>
        </w:tc>
        <w:tc>
          <w:tcPr>
            <w:tcW w:w="1397" w:type="dxa"/>
            <w:vAlign w:val="center"/>
          </w:tcPr>
          <w:p w14:paraId="52D4E1EE">
            <w:pPr>
              <w:jc w:val="center"/>
              <w:rPr>
                <w:rFonts w:ascii="宋体" w:hAnsi="宋体" w:eastAsia="宋体"/>
                <w:sz w:val="20"/>
                <w:szCs w:val="20"/>
              </w:rPr>
            </w:pPr>
            <w:r>
              <w:rPr>
                <w:rFonts w:ascii="宋体" w:hAnsi="宋体" w:eastAsia="宋体"/>
                <w:sz w:val="20"/>
                <w:szCs w:val="20"/>
              </w:rPr>
              <w:t>8.52</w:t>
            </w:r>
          </w:p>
        </w:tc>
        <w:tc>
          <w:tcPr>
            <w:tcW w:w="1985" w:type="dxa"/>
            <w:gridSpan w:val="2"/>
            <w:vAlign w:val="center"/>
          </w:tcPr>
          <w:p w14:paraId="51092262">
            <w:pPr>
              <w:jc w:val="center"/>
              <w:rPr>
                <w:rFonts w:ascii="宋体" w:hAnsi="宋体" w:eastAsia="宋体"/>
                <w:sz w:val="20"/>
                <w:szCs w:val="20"/>
              </w:rPr>
            </w:pPr>
            <w:r>
              <w:rPr>
                <w:rFonts w:hint="eastAsia" w:ascii="宋体" w:hAnsi="宋体" w:eastAsia="宋体"/>
                <w:sz w:val="20"/>
                <w:szCs w:val="20"/>
              </w:rPr>
              <w:t>完成市下达任务</w:t>
            </w:r>
          </w:p>
        </w:tc>
        <w:tc>
          <w:tcPr>
            <w:tcW w:w="1276" w:type="dxa"/>
            <w:vAlign w:val="center"/>
          </w:tcPr>
          <w:p w14:paraId="71700B20">
            <w:pPr>
              <w:jc w:val="center"/>
              <w:rPr>
                <w:rFonts w:ascii="宋体" w:hAnsi="宋体" w:eastAsia="宋体"/>
                <w:sz w:val="20"/>
                <w:szCs w:val="20"/>
              </w:rPr>
            </w:pPr>
            <w:r>
              <w:rPr>
                <w:rFonts w:ascii="宋体" w:hAnsi="宋体" w:eastAsia="宋体"/>
                <w:sz w:val="20"/>
                <w:szCs w:val="20"/>
              </w:rPr>
              <w:t>6.55</w:t>
            </w:r>
          </w:p>
        </w:tc>
        <w:tc>
          <w:tcPr>
            <w:tcW w:w="1275" w:type="dxa"/>
            <w:vAlign w:val="center"/>
          </w:tcPr>
          <w:p w14:paraId="605EFCC3">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3D30526D">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0E0A5FF8">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086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70469E9C">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平均期望寿命（岁）</w:t>
            </w:r>
          </w:p>
        </w:tc>
        <w:tc>
          <w:tcPr>
            <w:tcW w:w="1397" w:type="dxa"/>
            <w:vAlign w:val="center"/>
          </w:tcPr>
          <w:p w14:paraId="5A460C91">
            <w:pPr>
              <w:jc w:val="center"/>
              <w:rPr>
                <w:rFonts w:ascii="宋体" w:hAnsi="宋体" w:eastAsia="宋体"/>
                <w:sz w:val="20"/>
                <w:szCs w:val="20"/>
              </w:rPr>
            </w:pPr>
          </w:p>
        </w:tc>
        <w:tc>
          <w:tcPr>
            <w:tcW w:w="993" w:type="dxa"/>
            <w:vAlign w:val="center"/>
          </w:tcPr>
          <w:p w14:paraId="4C63C63F">
            <w:pPr>
              <w:jc w:val="center"/>
              <w:rPr>
                <w:rFonts w:ascii="宋体" w:hAnsi="宋体" w:eastAsia="宋体"/>
                <w:sz w:val="20"/>
                <w:szCs w:val="20"/>
              </w:rPr>
            </w:pPr>
            <w:r>
              <w:rPr>
                <w:rFonts w:hint="eastAsia" w:ascii="宋体" w:hAnsi="宋体" w:eastAsia="宋体"/>
                <w:sz w:val="20"/>
                <w:szCs w:val="20"/>
              </w:rPr>
              <w:t>8</w:t>
            </w:r>
            <w:r>
              <w:rPr>
                <w:rFonts w:ascii="宋体" w:hAnsi="宋体" w:eastAsia="宋体"/>
                <w:sz w:val="20"/>
                <w:szCs w:val="20"/>
              </w:rPr>
              <w:t>0</w:t>
            </w:r>
          </w:p>
        </w:tc>
        <w:tc>
          <w:tcPr>
            <w:tcW w:w="992" w:type="dxa"/>
          </w:tcPr>
          <w:p w14:paraId="264158A3">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6338B3DF">
            <w:pPr>
              <w:jc w:val="center"/>
              <w:rPr>
                <w:rFonts w:ascii="宋体" w:hAnsi="宋体" w:eastAsia="宋体"/>
                <w:sz w:val="20"/>
                <w:szCs w:val="20"/>
              </w:rPr>
            </w:pPr>
            <w:r>
              <w:rPr>
                <w:rFonts w:hint="eastAsia" w:ascii="宋体" w:hAnsi="宋体" w:eastAsia="宋体"/>
                <w:sz w:val="20"/>
                <w:szCs w:val="20"/>
              </w:rPr>
              <w:t>80.62</w:t>
            </w:r>
          </w:p>
        </w:tc>
        <w:tc>
          <w:tcPr>
            <w:tcW w:w="1275" w:type="dxa"/>
            <w:vAlign w:val="center"/>
          </w:tcPr>
          <w:p w14:paraId="48160EF5">
            <w:pPr>
              <w:jc w:val="center"/>
              <w:rPr>
                <w:rFonts w:ascii="宋体" w:hAnsi="宋体" w:eastAsia="宋体"/>
                <w:sz w:val="20"/>
                <w:szCs w:val="20"/>
              </w:rPr>
            </w:pPr>
          </w:p>
        </w:tc>
        <w:tc>
          <w:tcPr>
            <w:tcW w:w="851" w:type="dxa"/>
            <w:noWrap/>
            <w:vAlign w:val="center"/>
          </w:tcPr>
          <w:p w14:paraId="1F726C90">
            <w:pPr>
              <w:jc w:val="center"/>
              <w:rPr>
                <w:rFonts w:ascii="宋体" w:hAnsi="宋体" w:eastAsia="宋体"/>
                <w:sz w:val="20"/>
                <w:szCs w:val="20"/>
              </w:rPr>
            </w:pPr>
            <w:r>
              <w:rPr>
                <w:rFonts w:hint="eastAsia" w:ascii="宋体" w:hAnsi="宋体" w:eastAsia="宋体"/>
                <w:sz w:val="20"/>
                <w:szCs w:val="20"/>
              </w:rPr>
              <w:t>预期性</w:t>
            </w:r>
          </w:p>
        </w:tc>
        <w:tc>
          <w:tcPr>
            <w:tcW w:w="672" w:type="dxa"/>
          </w:tcPr>
          <w:p w14:paraId="3E49129D">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7E71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3" w:type="dxa"/>
            <w:gridSpan w:val="9"/>
            <w:vAlign w:val="center"/>
          </w:tcPr>
          <w:p w14:paraId="10344AB4">
            <w:pPr>
              <w:adjustRightInd w:val="0"/>
              <w:snapToGrid w:val="0"/>
              <w:spacing w:line="276" w:lineRule="auto"/>
              <w:jc w:val="left"/>
              <w:rPr>
                <w:rFonts w:ascii="宋体" w:hAnsi="宋体" w:cs="仿宋_GB2312"/>
                <w:kern w:val="0"/>
                <w:sz w:val="20"/>
                <w:szCs w:val="20"/>
              </w:rPr>
            </w:pPr>
            <w:r>
              <w:rPr>
                <w:rFonts w:hint="eastAsia" w:ascii="宋体" w:hAnsi="宋体" w:cs="仿宋_GB2312"/>
                <w:b/>
                <w:bCs/>
                <w:color w:val="0D0D0D" w:themeColor="text1" w:themeTint="F2"/>
                <w:kern w:val="0"/>
                <w:sz w:val="20"/>
                <w:szCs w:val="20"/>
                <w14:textFill>
                  <w14:solidFill>
                    <w14:schemeClr w14:val="tx1">
                      <w14:lumMod w14:val="95000"/>
                      <w14:lumOff w14:val="5000"/>
                    </w14:schemeClr>
                  </w14:solidFill>
                </w14:textFill>
              </w:rPr>
              <w:t>三、资源环境</w:t>
            </w:r>
          </w:p>
        </w:tc>
      </w:tr>
      <w:tr w14:paraId="1372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11E1D5D5">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耕地保有量（万公顷）</w:t>
            </w:r>
          </w:p>
        </w:tc>
        <w:tc>
          <w:tcPr>
            <w:tcW w:w="1397" w:type="dxa"/>
            <w:vAlign w:val="center"/>
          </w:tcPr>
          <w:p w14:paraId="5EDCC6A7">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10172.523</w:t>
            </w:r>
          </w:p>
        </w:tc>
        <w:tc>
          <w:tcPr>
            <w:tcW w:w="993" w:type="dxa"/>
            <w:vAlign w:val="center"/>
          </w:tcPr>
          <w:p w14:paraId="341C6B0E">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9351.08</w:t>
            </w:r>
          </w:p>
        </w:tc>
        <w:tc>
          <w:tcPr>
            <w:tcW w:w="992" w:type="dxa"/>
          </w:tcPr>
          <w:p w14:paraId="5B29F10A">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持平</w:t>
            </w:r>
          </w:p>
        </w:tc>
        <w:tc>
          <w:tcPr>
            <w:tcW w:w="1276" w:type="dxa"/>
            <w:vAlign w:val="center"/>
          </w:tcPr>
          <w:p w14:paraId="2F473B15">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9968</w:t>
            </w:r>
          </w:p>
        </w:tc>
        <w:tc>
          <w:tcPr>
            <w:tcW w:w="1275" w:type="dxa"/>
            <w:vAlign w:val="center"/>
          </w:tcPr>
          <w:p w14:paraId="0E12C4CC">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w:t>
            </w:r>
          </w:p>
        </w:tc>
        <w:tc>
          <w:tcPr>
            <w:tcW w:w="851" w:type="dxa"/>
            <w:noWrap/>
            <w:vAlign w:val="center"/>
          </w:tcPr>
          <w:p w14:paraId="4D7AE888">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约束性</w:t>
            </w:r>
          </w:p>
        </w:tc>
        <w:tc>
          <w:tcPr>
            <w:tcW w:w="672" w:type="dxa"/>
          </w:tcPr>
          <w:p w14:paraId="0D86CD47">
            <w:pPr>
              <w:jc w:val="center"/>
              <w:rPr>
                <w:rFonts w:ascii="宋体" w:hAnsi="宋体" w:eastAsia="宋体"/>
                <w:sz w:val="20"/>
                <w:szCs w:val="20"/>
              </w:rPr>
            </w:pPr>
          </w:p>
        </w:tc>
      </w:tr>
      <w:tr w14:paraId="6BD1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0D3943B9">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单位</w:t>
            </w:r>
            <w:r>
              <w:rPr>
                <w:rFonts w:ascii="宋体" w:hAnsi="宋体"/>
                <w:color w:val="0D0D0D" w:themeColor="text1" w:themeTint="F2"/>
                <w:kern w:val="0"/>
                <w:sz w:val="20"/>
                <w:szCs w:val="20"/>
                <w14:textFill>
                  <w14:solidFill>
                    <w14:schemeClr w14:val="tx1">
                      <w14:lumMod w14:val="95000"/>
                      <w14:lumOff w14:val="5000"/>
                    </w14:schemeClr>
                  </w14:solidFill>
                </w14:textFill>
              </w:rPr>
              <w:t>GDP</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能耗降低（</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565B2F47">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3.91</w:t>
            </w:r>
          </w:p>
        </w:tc>
        <w:tc>
          <w:tcPr>
            <w:tcW w:w="1985" w:type="dxa"/>
            <w:gridSpan w:val="2"/>
            <w:vAlign w:val="center"/>
          </w:tcPr>
          <w:p w14:paraId="2DF5E18E">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2551" w:type="dxa"/>
            <w:gridSpan w:val="2"/>
            <w:vAlign w:val="center"/>
          </w:tcPr>
          <w:p w14:paraId="0EC3C271">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851" w:type="dxa"/>
            <w:vAlign w:val="center"/>
          </w:tcPr>
          <w:p w14:paraId="45E9C49C">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约束性</w:t>
            </w:r>
          </w:p>
        </w:tc>
        <w:tc>
          <w:tcPr>
            <w:tcW w:w="672" w:type="dxa"/>
          </w:tcPr>
          <w:p w14:paraId="6430363A">
            <w:pPr>
              <w:jc w:val="center"/>
              <w:rPr>
                <w:rFonts w:ascii="宋体" w:hAnsi="宋体" w:eastAsia="宋体"/>
                <w:sz w:val="20"/>
                <w:szCs w:val="20"/>
              </w:rPr>
            </w:pPr>
          </w:p>
          <w:p w14:paraId="169AAE93">
            <w:pPr>
              <w:jc w:val="center"/>
              <w:rPr>
                <w:rFonts w:ascii="宋体" w:hAnsi="宋体" w:eastAsia="宋体"/>
                <w:sz w:val="20"/>
                <w:szCs w:val="20"/>
              </w:rPr>
            </w:pPr>
            <w:r>
              <w:rPr>
                <w:rFonts w:hint="eastAsia" w:ascii="宋体" w:hAnsi="宋体" w:eastAsia="宋体"/>
                <w:sz w:val="20"/>
                <w:szCs w:val="20"/>
              </w:rPr>
              <w:t>区工信局</w:t>
            </w:r>
          </w:p>
        </w:tc>
      </w:tr>
      <w:tr w14:paraId="32D1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37" w:type="dxa"/>
            <w:gridSpan w:val="2"/>
            <w:vAlign w:val="center"/>
          </w:tcPr>
          <w:p w14:paraId="55FAFF94">
            <w:pPr>
              <w:adjustRightInd w:val="0"/>
              <w:snapToGrid w:val="0"/>
              <w:jc w:val="left"/>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单位</w:t>
            </w:r>
            <w:r>
              <w:rPr>
                <w:rFonts w:ascii="宋体" w:hAnsi="宋体"/>
                <w:color w:val="0D0D0D" w:themeColor="text1" w:themeTint="F2"/>
                <w:kern w:val="0"/>
                <w:sz w:val="20"/>
                <w:szCs w:val="20"/>
                <w14:textFill>
                  <w14:solidFill>
                    <w14:schemeClr w14:val="tx1">
                      <w14:lumMod w14:val="95000"/>
                      <w14:lumOff w14:val="5000"/>
                    </w14:schemeClr>
                  </w14:solidFill>
                </w14:textFill>
              </w:rPr>
              <w:t>GDP</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二氧化碳排放降低（</w:t>
            </w:r>
            <w:r>
              <w:rPr>
                <w:rFonts w:ascii="宋体" w:hAnsi="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olor w:val="0D0D0D" w:themeColor="text1" w:themeTint="F2"/>
                <w:kern w:val="0"/>
                <w:sz w:val="20"/>
                <w:szCs w:val="20"/>
                <w14:textFill>
                  <w14:solidFill>
                    <w14:schemeClr w14:val="tx1">
                      <w14:lumMod w14:val="95000"/>
                      <w14:lumOff w14:val="5000"/>
                    </w14:schemeClr>
                  </w14:solidFill>
                </w14:textFill>
              </w:rPr>
              <w:t>）</w:t>
            </w:r>
          </w:p>
        </w:tc>
        <w:tc>
          <w:tcPr>
            <w:tcW w:w="1397" w:type="dxa"/>
            <w:vAlign w:val="center"/>
          </w:tcPr>
          <w:p w14:paraId="4E5AC81D">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ascii="宋体" w:hAnsi="宋体"/>
                <w:color w:val="0D0D0D" w:themeColor="text1" w:themeTint="F2"/>
                <w:kern w:val="0"/>
                <w:sz w:val="20"/>
                <w:szCs w:val="20"/>
                <w14:textFill>
                  <w14:solidFill>
                    <w14:schemeClr w14:val="tx1">
                      <w14:lumMod w14:val="95000"/>
                      <w14:lumOff w14:val="5000"/>
                    </w14:schemeClr>
                  </w14:solidFill>
                </w14:textFill>
              </w:rPr>
              <w:t>3.91</w:t>
            </w:r>
          </w:p>
        </w:tc>
        <w:tc>
          <w:tcPr>
            <w:tcW w:w="1985" w:type="dxa"/>
            <w:gridSpan w:val="2"/>
            <w:vAlign w:val="center"/>
          </w:tcPr>
          <w:p w14:paraId="10063C99">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2551" w:type="dxa"/>
            <w:gridSpan w:val="2"/>
            <w:vAlign w:val="center"/>
          </w:tcPr>
          <w:p w14:paraId="0FA19970">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完成市下达任务</w:t>
            </w:r>
          </w:p>
        </w:tc>
        <w:tc>
          <w:tcPr>
            <w:tcW w:w="851" w:type="dxa"/>
            <w:noWrap/>
            <w:vAlign w:val="center"/>
          </w:tcPr>
          <w:p w14:paraId="3C90DF5D">
            <w:pPr>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约束性</w:t>
            </w:r>
          </w:p>
        </w:tc>
        <w:tc>
          <w:tcPr>
            <w:tcW w:w="672" w:type="dxa"/>
          </w:tcPr>
          <w:p w14:paraId="7509CF1E">
            <w:pPr>
              <w:jc w:val="center"/>
              <w:rPr>
                <w:rFonts w:ascii="宋体" w:hAnsi="宋体" w:eastAsia="宋体"/>
                <w:sz w:val="20"/>
                <w:szCs w:val="20"/>
              </w:rPr>
            </w:pPr>
          </w:p>
        </w:tc>
      </w:tr>
      <w:tr w14:paraId="28EE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9" w:type="dxa"/>
            <w:vMerge w:val="restart"/>
            <w:vAlign w:val="center"/>
          </w:tcPr>
          <w:p w14:paraId="7E5913BA">
            <w:pPr>
              <w:spacing w:line="300" w:lineRule="exact"/>
              <w:rPr>
                <w:sz w:val="20"/>
                <w:szCs w:val="20"/>
              </w:rPr>
            </w:pPr>
            <w:r>
              <w:rPr>
                <w:rFonts w:hint="eastAsia"/>
                <w:sz w:val="20"/>
                <w:szCs w:val="20"/>
              </w:rPr>
              <w:t>主要污染物排放减少</w:t>
            </w:r>
          </w:p>
        </w:tc>
        <w:tc>
          <w:tcPr>
            <w:tcW w:w="1768" w:type="dxa"/>
            <w:vAlign w:val="center"/>
          </w:tcPr>
          <w:p w14:paraId="6E9A742E">
            <w:pPr>
              <w:rPr>
                <w:sz w:val="20"/>
                <w:szCs w:val="20"/>
              </w:rPr>
            </w:pPr>
            <w:r>
              <w:rPr>
                <w:rFonts w:hint="eastAsia"/>
                <w:sz w:val="20"/>
                <w:szCs w:val="20"/>
              </w:rPr>
              <w:t>化学需氧量（吨）</w:t>
            </w:r>
          </w:p>
        </w:tc>
        <w:tc>
          <w:tcPr>
            <w:tcW w:w="1397" w:type="dxa"/>
            <w:vAlign w:val="center"/>
          </w:tcPr>
          <w:p w14:paraId="2E7186A2">
            <w:pPr>
              <w:jc w:val="center"/>
              <w:rPr>
                <w:rFonts w:ascii="宋体" w:hAnsi="宋体" w:eastAsia="宋体"/>
                <w:sz w:val="20"/>
                <w:szCs w:val="20"/>
              </w:rPr>
            </w:pPr>
            <w:r>
              <w:rPr>
                <w:rFonts w:ascii="宋体" w:hAnsi="宋体" w:eastAsia="宋体"/>
                <w:sz w:val="20"/>
                <w:szCs w:val="20"/>
              </w:rPr>
              <w:t>10259</w:t>
            </w:r>
          </w:p>
        </w:tc>
        <w:tc>
          <w:tcPr>
            <w:tcW w:w="1985" w:type="dxa"/>
            <w:gridSpan w:val="2"/>
            <w:vAlign w:val="center"/>
          </w:tcPr>
          <w:p w14:paraId="7FC2DC70">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vAlign w:val="center"/>
          </w:tcPr>
          <w:p w14:paraId="31B13DD5">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vAlign w:val="center"/>
          </w:tcPr>
          <w:p w14:paraId="53E25839">
            <w:pPr>
              <w:jc w:val="center"/>
              <w:rPr>
                <w:rFonts w:ascii="宋体" w:hAnsi="宋体" w:eastAsia="宋体"/>
                <w:sz w:val="20"/>
                <w:szCs w:val="20"/>
              </w:rPr>
            </w:pPr>
            <w:r>
              <w:rPr>
                <w:rFonts w:hint="eastAsia" w:ascii="宋体" w:hAnsi="宋体" w:eastAsia="宋体"/>
                <w:sz w:val="20"/>
                <w:szCs w:val="20"/>
              </w:rPr>
              <w:t>约束性</w:t>
            </w:r>
          </w:p>
        </w:tc>
        <w:tc>
          <w:tcPr>
            <w:tcW w:w="672" w:type="dxa"/>
          </w:tcPr>
          <w:p w14:paraId="0CC2CF96">
            <w:pPr>
              <w:jc w:val="center"/>
              <w:rPr>
                <w:rFonts w:ascii="宋体" w:hAnsi="宋体" w:eastAsia="宋体"/>
                <w:sz w:val="20"/>
                <w:szCs w:val="20"/>
              </w:rPr>
            </w:pPr>
          </w:p>
        </w:tc>
      </w:tr>
      <w:tr w14:paraId="2AFD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9" w:type="dxa"/>
            <w:vMerge w:val="continue"/>
            <w:vAlign w:val="center"/>
          </w:tcPr>
          <w:p w14:paraId="1048018B">
            <w:pPr>
              <w:rPr>
                <w:sz w:val="20"/>
                <w:szCs w:val="20"/>
              </w:rPr>
            </w:pPr>
          </w:p>
        </w:tc>
        <w:tc>
          <w:tcPr>
            <w:tcW w:w="1768" w:type="dxa"/>
          </w:tcPr>
          <w:p w14:paraId="47D048D6">
            <w:pPr>
              <w:rPr>
                <w:sz w:val="20"/>
                <w:szCs w:val="20"/>
              </w:rPr>
            </w:pPr>
            <w:r>
              <w:rPr>
                <w:rFonts w:hint="eastAsia"/>
                <w:sz w:val="20"/>
                <w:szCs w:val="20"/>
              </w:rPr>
              <w:t>二氧化硫（吨）</w:t>
            </w:r>
          </w:p>
        </w:tc>
        <w:tc>
          <w:tcPr>
            <w:tcW w:w="1397" w:type="dxa"/>
          </w:tcPr>
          <w:p w14:paraId="295C9ACE">
            <w:pPr>
              <w:jc w:val="center"/>
              <w:rPr>
                <w:rFonts w:ascii="宋体" w:hAnsi="宋体" w:eastAsia="宋体"/>
                <w:sz w:val="20"/>
                <w:szCs w:val="20"/>
              </w:rPr>
            </w:pPr>
            <w:r>
              <w:rPr>
                <w:rFonts w:ascii="宋体" w:hAnsi="宋体" w:eastAsia="宋体"/>
                <w:sz w:val="20"/>
                <w:szCs w:val="20"/>
              </w:rPr>
              <w:t>7422</w:t>
            </w:r>
          </w:p>
        </w:tc>
        <w:tc>
          <w:tcPr>
            <w:tcW w:w="1985" w:type="dxa"/>
            <w:gridSpan w:val="2"/>
          </w:tcPr>
          <w:p w14:paraId="5A6F18A9">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tcPr>
          <w:p w14:paraId="76CE4AD4">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tcPr>
          <w:p w14:paraId="5189EA5B">
            <w:pPr>
              <w:jc w:val="center"/>
              <w:rPr>
                <w:rFonts w:ascii="宋体" w:hAnsi="宋体" w:eastAsia="宋体"/>
                <w:sz w:val="20"/>
                <w:szCs w:val="20"/>
              </w:rPr>
            </w:pPr>
            <w:r>
              <w:rPr>
                <w:rFonts w:hint="eastAsia" w:ascii="宋体" w:hAnsi="宋体" w:eastAsia="宋体"/>
                <w:sz w:val="20"/>
                <w:szCs w:val="20"/>
              </w:rPr>
              <w:t>约束性</w:t>
            </w:r>
          </w:p>
        </w:tc>
        <w:tc>
          <w:tcPr>
            <w:tcW w:w="672" w:type="dxa"/>
          </w:tcPr>
          <w:p w14:paraId="363E36EA">
            <w:pPr>
              <w:adjustRightInd w:val="0"/>
              <w:snapToGrid w:val="0"/>
              <w:jc w:val="center"/>
              <w:rPr>
                <w:rFonts w:ascii="宋体" w:hAnsi="宋体" w:eastAsia="宋体"/>
                <w:sz w:val="20"/>
                <w:szCs w:val="20"/>
              </w:rPr>
            </w:pPr>
          </w:p>
        </w:tc>
      </w:tr>
      <w:tr w14:paraId="376C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69" w:type="dxa"/>
            <w:vMerge w:val="continue"/>
            <w:vAlign w:val="center"/>
          </w:tcPr>
          <w:p w14:paraId="285DAF51">
            <w:pPr>
              <w:rPr>
                <w:sz w:val="20"/>
                <w:szCs w:val="20"/>
              </w:rPr>
            </w:pPr>
          </w:p>
        </w:tc>
        <w:tc>
          <w:tcPr>
            <w:tcW w:w="1768" w:type="dxa"/>
            <w:vAlign w:val="center"/>
          </w:tcPr>
          <w:p w14:paraId="651A3AD1">
            <w:pPr>
              <w:rPr>
                <w:sz w:val="20"/>
                <w:szCs w:val="20"/>
              </w:rPr>
            </w:pPr>
            <w:r>
              <w:rPr>
                <w:rFonts w:hint="eastAsia"/>
                <w:sz w:val="20"/>
                <w:szCs w:val="20"/>
              </w:rPr>
              <w:t>氨氮（吨）</w:t>
            </w:r>
          </w:p>
        </w:tc>
        <w:tc>
          <w:tcPr>
            <w:tcW w:w="1397" w:type="dxa"/>
            <w:vAlign w:val="center"/>
          </w:tcPr>
          <w:p w14:paraId="141233B4">
            <w:pPr>
              <w:jc w:val="center"/>
              <w:rPr>
                <w:rFonts w:ascii="宋体" w:hAnsi="宋体" w:eastAsia="宋体"/>
                <w:sz w:val="20"/>
                <w:szCs w:val="20"/>
              </w:rPr>
            </w:pPr>
            <w:r>
              <w:rPr>
                <w:rFonts w:ascii="宋体" w:hAnsi="宋体" w:eastAsia="宋体"/>
                <w:sz w:val="20"/>
                <w:szCs w:val="20"/>
              </w:rPr>
              <w:t>1047</w:t>
            </w:r>
          </w:p>
        </w:tc>
        <w:tc>
          <w:tcPr>
            <w:tcW w:w="1985" w:type="dxa"/>
            <w:gridSpan w:val="2"/>
            <w:vAlign w:val="center"/>
          </w:tcPr>
          <w:p w14:paraId="673DC5BB">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vAlign w:val="center"/>
          </w:tcPr>
          <w:p w14:paraId="21F678AF">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vAlign w:val="center"/>
          </w:tcPr>
          <w:p w14:paraId="38177DD0">
            <w:pPr>
              <w:jc w:val="center"/>
              <w:rPr>
                <w:rFonts w:ascii="宋体" w:hAnsi="宋体" w:eastAsia="宋体"/>
                <w:sz w:val="20"/>
                <w:szCs w:val="20"/>
              </w:rPr>
            </w:pPr>
            <w:r>
              <w:rPr>
                <w:rFonts w:hint="eastAsia" w:ascii="宋体" w:hAnsi="宋体" w:eastAsia="宋体"/>
                <w:sz w:val="20"/>
                <w:szCs w:val="20"/>
              </w:rPr>
              <w:t>约束性</w:t>
            </w:r>
          </w:p>
        </w:tc>
        <w:tc>
          <w:tcPr>
            <w:tcW w:w="672" w:type="dxa"/>
          </w:tcPr>
          <w:p w14:paraId="2D40F003">
            <w:pPr>
              <w:jc w:val="center"/>
              <w:rPr>
                <w:rFonts w:ascii="宋体" w:hAnsi="宋体" w:eastAsia="宋体"/>
                <w:sz w:val="20"/>
                <w:szCs w:val="20"/>
              </w:rPr>
            </w:pPr>
          </w:p>
        </w:tc>
      </w:tr>
      <w:tr w14:paraId="6B9B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9" w:type="dxa"/>
            <w:vMerge w:val="continue"/>
            <w:vAlign w:val="center"/>
          </w:tcPr>
          <w:p w14:paraId="17FEE615">
            <w:pPr>
              <w:rPr>
                <w:sz w:val="20"/>
                <w:szCs w:val="20"/>
              </w:rPr>
            </w:pPr>
          </w:p>
        </w:tc>
        <w:tc>
          <w:tcPr>
            <w:tcW w:w="1768" w:type="dxa"/>
            <w:vAlign w:val="center"/>
          </w:tcPr>
          <w:p w14:paraId="1048112C">
            <w:pPr>
              <w:rPr>
                <w:sz w:val="20"/>
                <w:szCs w:val="20"/>
              </w:rPr>
            </w:pPr>
            <w:r>
              <w:rPr>
                <w:rFonts w:hint="eastAsia"/>
                <w:sz w:val="20"/>
                <w:szCs w:val="20"/>
              </w:rPr>
              <w:t>氮氧化物（吨）</w:t>
            </w:r>
          </w:p>
        </w:tc>
        <w:tc>
          <w:tcPr>
            <w:tcW w:w="1397" w:type="dxa"/>
            <w:vAlign w:val="center"/>
          </w:tcPr>
          <w:p w14:paraId="751728C6">
            <w:pPr>
              <w:jc w:val="center"/>
              <w:rPr>
                <w:rFonts w:ascii="宋体" w:hAnsi="宋体" w:eastAsia="宋体"/>
                <w:sz w:val="20"/>
                <w:szCs w:val="20"/>
              </w:rPr>
            </w:pPr>
            <w:r>
              <w:rPr>
                <w:rFonts w:ascii="宋体" w:hAnsi="宋体" w:eastAsia="宋体"/>
                <w:sz w:val="20"/>
                <w:szCs w:val="20"/>
              </w:rPr>
              <w:t>6288</w:t>
            </w:r>
          </w:p>
        </w:tc>
        <w:tc>
          <w:tcPr>
            <w:tcW w:w="1985" w:type="dxa"/>
            <w:gridSpan w:val="2"/>
            <w:vAlign w:val="center"/>
          </w:tcPr>
          <w:p w14:paraId="6D07D43C">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2551" w:type="dxa"/>
            <w:gridSpan w:val="2"/>
            <w:vAlign w:val="center"/>
          </w:tcPr>
          <w:p w14:paraId="6E922D3B">
            <w:pPr>
              <w:jc w:val="center"/>
              <w:rPr>
                <w:rFonts w:ascii="仿宋_GB2312" w:hAnsi="仿宋_GB2312" w:cs="仿宋_GB2312"/>
                <w:sz w:val="20"/>
                <w:szCs w:val="20"/>
              </w:rPr>
            </w:pPr>
            <w:r>
              <w:rPr>
                <w:rFonts w:hint="eastAsia" w:ascii="仿宋_GB2312" w:hAnsi="仿宋_GB2312" w:cs="仿宋_GB2312"/>
                <w:sz w:val="20"/>
                <w:szCs w:val="20"/>
              </w:rPr>
              <w:t>完成市下达任务</w:t>
            </w:r>
          </w:p>
        </w:tc>
        <w:tc>
          <w:tcPr>
            <w:tcW w:w="851" w:type="dxa"/>
            <w:noWrap/>
            <w:vAlign w:val="center"/>
          </w:tcPr>
          <w:p w14:paraId="0DA5DC08">
            <w:pPr>
              <w:rPr>
                <w:sz w:val="20"/>
                <w:szCs w:val="20"/>
              </w:rPr>
            </w:pPr>
            <w:r>
              <w:rPr>
                <w:rFonts w:hint="eastAsia"/>
                <w:sz w:val="20"/>
                <w:szCs w:val="20"/>
              </w:rPr>
              <w:t>约束性</w:t>
            </w:r>
          </w:p>
        </w:tc>
        <w:tc>
          <w:tcPr>
            <w:tcW w:w="672" w:type="dxa"/>
          </w:tcPr>
          <w:p w14:paraId="315DDCF1">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217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0B3BCE25">
            <w:pPr>
              <w:rPr>
                <w:sz w:val="20"/>
                <w:szCs w:val="20"/>
              </w:rPr>
            </w:pPr>
            <w:r>
              <w:rPr>
                <w:rFonts w:hint="eastAsia"/>
                <w:sz w:val="20"/>
                <w:szCs w:val="20"/>
              </w:rPr>
              <w:t>市城区生活污水处理率（</w:t>
            </w:r>
            <w:r>
              <w:rPr>
                <w:sz w:val="20"/>
                <w:szCs w:val="20"/>
              </w:rPr>
              <w:t>%</w:t>
            </w:r>
            <w:r>
              <w:rPr>
                <w:rFonts w:hint="eastAsia"/>
                <w:sz w:val="20"/>
                <w:szCs w:val="20"/>
              </w:rPr>
              <w:t>）</w:t>
            </w:r>
          </w:p>
        </w:tc>
        <w:tc>
          <w:tcPr>
            <w:tcW w:w="1397" w:type="dxa"/>
            <w:vAlign w:val="center"/>
          </w:tcPr>
          <w:p w14:paraId="45FB96D5">
            <w:pPr>
              <w:jc w:val="center"/>
              <w:rPr>
                <w:rFonts w:ascii="宋体" w:hAnsi="宋体" w:eastAsia="宋体"/>
                <w:sz w:val="20"/>
                <w:szCs w:val="20"/>
              </w:rPr>
            </w:pPr>
            <w:r>
              <w:rPr>
                <w:rFonts w:ascii="宋体" w:hAnsi="宋体" w:eastAsia="宋体"/>
                <w:sz w:val="20"/>
                <w:szCs w:val="20"/>
              </w:rPr>
              <w:t>75.1</w:t>
            </w:r>
          </w:p>
        </w:tc>
        <w:tc>
          <w:tcPr>
            <w:tcW w:w="993" w:type="dxa"/>
            <w:vAlign w:val="center"/>
          </w:tcPr>
          <w:p w14:paraId="18759B8D">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95</w:t>
            </w:r>
          </w:p>
        </w:tc>
        <w:tc>
          <w:tcPr>
            <w:tcW w:w="992" w:type="dxa"/>
          </w:tcPr>
          <w:p w14:paraId="79137C5B">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05CC5351">
            <w:pPr>
              <w:jc w:val="center"/>
              <w:rPr>
                <w:rFonts w:ascii="宋体" w:hAnsi="宋体" w:eastAsia="宋体"/>
                <w:sz w:val="20"/>
                <w:szCs w:val="20"/>
              </w:rPr>
            </w:pPr>
            <w:r>
              <w:rPr>
                <w:rFonts w:hint="eastAsia" w:ascii="宋体" w:hAnsi="宋体" w:eastAsia="宋体"/>
                <w:sz w:val="20"/>
                <w:szCs w:val="20"/>
              </w:rPr>
              <w:t>98.6</w:t>
            </w:r>
          </w:p>
        </w:tc>
        <w:tc>
          <w:tcPr>
            <w:tcW w:w="1275" w:type="dxa"/>
            <w:vAlign w:val="center"/>
          </w:tcPr>
          <w:p w14:paraId="0CC77C7C">
            <w:pPr>
              <w:jc w:val="center"/>
              <w:rPr>
                <w:rFonts w:ascii="宋体" w:hAnsi="宋体" w:eastAsia="宋体"/>
                <w:sz w:val="20"/>
                <w:szCs w:val="20"/>
              </w:rPr>
            </w:pPr>
            <w:r>
              <w:rPr>
                <w:rFonts w:ascii="宋体" w:hAnsi="宋体" w:eastAsia="宋体"/>
                <w:sz w:val="20"/>
                <w:szCs w:val="20"/>
              </w:rPr>
              <w:t>-</w:t>
            </w:r>
          </w:p>
        </w:tc>
        <w:tc>
          <w:tcPr>
            <w:tcW w:w="851" w:type="dxa"/>
            <w:noWrap/>
            <w:vAlign w:val="center"/>
          </w:tcPr>
          <w:p w14:paraId="2EAFE96C">
            <w:pPr>
              <w:rPr>
                <w:sz w:val="20"/>
                <w:szCs w:val="20"/>
              </w:rPr>
            </w:pPr>
            <w:r>
              <w:rPr>
                <w:rFonts w:hint="eastAsia"/>
                <w:sz w:val="20"/>
                <w:szCs w:val="20"/>
              </w:rPr>
              <w:t>预期性</w:t>
            </w:r>
          </w:p>
        </w:tc>
        <w:tc>
          <w:tcPr>
            <w:tcW w:w="672" w:type="dxa"/>
          </w:tcPr>
          <w:p w14:paraId="619754F6">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7EB5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37" w:type="dxa"/>
            <w:gridSpan w:val="2"/>
            <w:vAlign w:val="center"/>
          </w:tcPr>
          <w:p w14:paraId="71B8B0FF">
            <w:pPr>
              <w:rPr>
                <w:sz w:val="20"/>
                <w:szCs w:val="20"/>
              </w:rPr>
            </w:pPr>
            <w:r>
              <w:rPr>
                <w:rFonts w:hint="eastAsia"/>
                <w:sz w:val="20"/>
                <w:szCs w:val="20"/>
              </w:rPr>
              <w:t>城镇生活垃圾无害化处理率（</w:t>
            </w:r>
            <w:r>
              <w:rPr>
                <w:sz w:val="20"/>
                <w:szCs w:val="20"/>
              </w:rPr>
              <w:t>%）</w:t>
            </w:r>
          </w:p>
        </w:tc>
        <w:tc>
          <w:tcPr>
            <w:tcW w:w="1397" w:type="dxa"/>
            <w:vAlign w:val="center"/>
          </w:tcPr>
          <w:p w14:paraId="0A744FB9">
            <w:pPr>
              <w:jc w:val="center"/>
              <w:rPr>
                <w:rFonts w:ascii="宋体" w:hAnsi="宋体" w:eastAsia="宋体"/>
                <w:sz w:val="20"/>
                <w:szCs w:val="20"/>
              </w:rPr>
            </w:pPr>
            <w:r>
              <w:rPr>
                <w:rFonts w:ascii="宋体" w:hAnsi="宋体" w:eastAsia="宋体"/>
                <w:sz w:val="20"/>
                <w:szCs w:val="20"/>
              </w:rPr>
              <w:t>100</w:t>
            </w:r>
          </w:p>
        </w:tc>
        <w:tc>
          <w:tcPr>
            <w:tcW w:w="993" w:type="dxa"/>
            <w:vAlign w:val="center"/>
          </w:tcPr>
          <w:p w14:paraId="49E79B5F">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100</w:t>
            </w:r>
          </w:p>
        </w:tc>
        <w:tc>
          <w:tcPr>
            <w:tcW w:w="992" w:type="dxa"/>
          </w:tcPr>
          <w:p w14:paraId="391B4654">
            <w:pPr>
              <w:jc w:val="center"/>
              <w:rPr>
                <w:rFonts w:ascii="宋体" w:hAnsi="宋体" w:eastAsia="宋体"/>
                <w:sz w:val="20"/>
                <w:szCs w:val="20"/>
              </w:rPr>
            </w:pPr>
            <w:r>
              <w:rPr>
                <w:rFonts w:hint="eastAsia" w:ascii="宋体" w:hAnsi="宋体" w:eastAsia="宋体"/>
                <w:sz w:val="20"/>
                <w:szCs w:val="20"/>
              </w:rPr>
              <w:t>-</w:t>
            </w:r>
          </w:p>
        </w:tc>
        <w:tc>
          <w:tcPr>
            <w:tcW w:w="1276" w:type="dxa"/>
            <w:vAlign w:val="center"/>
          </w:tcPr>
          <w:p w14:paraId="2038CB42">
            <w:pPr>
              <w:jc w:val="center"/>
              <w:rPr>
                <w:rFonts w:ascii="宋体" w:hAnsi="宋体" w:eastAsia="宋体"/>
                <w:sz w:val="20"/>
                <w:szCs w:val="20"/>
              </w:rPr>
            </w:pPr>
            <w:r>
              <w:rPr>
                <w:rFonts w:hint="eastAsia" w:ascii="宋体" w:hAnsi="宋体" w:eastAsia="宋体"/>
                <w:sz w:val="20"/>
                <w:szCs w:val="20"/>
              </w:rPr>
              <w:t>100</w:t>
            </w:r>
          </w:p>
        </w:tc>
        <w:tc>
          <w:tcPr>
            <w:tcW w:w="1275" w:type="dxa"/>
            <w:vAlign w:val="center"/>
          </w:tcPr>
          <w:p w14:paraId="1D05D8F7">
            <w:pPr>
              <w:jc w:val="center"/>
              <w:rPr>
                <w:rFonts w:ascii="宋体" w:hAnsi="宋体" w:eastAsia="宋体"/>
                <w:sz w:val="20"/>
                <w:szCs w:val="20"/>
              </w:rPr>
            </w:pPr>
            <w:r>
              <w:rPr>
                <w:rFonts w:hint="eastAsia" w:ascii="宋体" w:hAnsi="宋体" w:eastAsia="宋体"/>
                <w:sz w:val="20"/>
                <w:szCs w:val="20"/>
              </w:rPr>
              <w:t>-</w:t>
            </w:r>
          </w:p>
        </w:tc>
        <w:tc>
          <w:tcPr>
            <w:tcW w:w="851" w:type="dxa"/>
            <w:vAlign w:val="center"/>
          </w:tcPr>
          <w:p w14:paraId="3C41A0C7">
            <w:pPr>
              <w:rPr>
                <w:sz w:val="20"/>
                <w:szCs w:val="20"/>
              </w:rPr>
            </w:pPr>
            <w:r>
              <w:rPr>
                <w:rFonts w:hint="eastAsia"/>
                <w:sz w:val="20"/>
                <w:szCs w:val="20"/>
              </w:rPr>
              <w:t>预期性</w:t>
            </w:r>
          </w:p>
        </w:tc>
        <w:tc>
          <w:tcPr>
            <w:tcW w:w="672" w:type="dxa"/>
          </w:tcPr>
          <w:p w14:paraId="68595121">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114A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2737" w:type="dxa"/>
            <w:gridSpan w:val="2"/>
            <w:vAlign w:val="center"/>
          </w:tcPr>
          <w:p w14:paraId="3B76C985">
            <w:pPr>
              <w:rPr>
                <w:sz w:val="20"/>
                <w:szCs w:val="20"/>
              </w:rPr>
            </w:pPr>
            <w:r>
              <w:rPr>
                <w:rFonts w:hint="eastAsia"/>
                <w:sz w:val="20"/>
                <w:szCs w:val="20"/>
              </w:rPr>
              <w:t>森林覆盖率（</w:t>
            </w:r>
            <w:r>
              <w:rPr>
                <w:sz w:val="20"/>
                <w:szCs w:val="20"/>
              </w:rPr>
              <w:t>%</w:t>
            </w:r>
            <w:r>
              <w:rPr>
                <w:rFonts w:hint="eastAsia"/>
                <w:sz w:val="20"/>
                <w:szCs w:val="20"/>
              </w:rPr>
              <w:t>）</w:t>
            </w:r>
          </w:p>
        </w:tc>
        <w:tc>
          <w:tcPr>
            <w:tcW w:w="1397" w:type="dxa"/>
            <w:vAlign w:val="center"/>
          </w:tcPr>
          <w:p w14:paraId="26975E63">
            <w:pPr>
              <w:jc w:val="center"/>
              <w:rPr>
                <w:rFonts w:ascii="宋体" w:hAnsi="宋体" w:eastAsia="宋体"/>
                <w:sz w:val="20"/>
                <w:szCs w:val="20"/>
              </w:rPr>
            </w:pPr>
            <w:r>
              <w:rPr>
                <w:rFonts w:ascii="宋体" w:hAnsi="宋体" w:eastAsia="宋体"/>
                <w:sz w:val="20"/>
                <w:szCs w:val="20"/>
              </w:rPr>
              <w:t>73.2</w:t>
            </w:r>
          </w:p>
        </w:tc>
        <w:tc>
          <w:tcPr>
            <w:tcW w:w="993" w:type="dxa"/>
            <w:vAlign w:val="center"/>
          </w:tcPr>
          <w:p w14:paraId="418EF7D0">
            <w:pPr>
              <w:jc w:val="center"/>
              <w:rPr>
                <w:rFonts w:ascii="宋体" w:hAnsi="宋体" w:eastAsia="宋体"/>
                <w:sz w:val="20"/>
                <w:szCs w:val="20"/>
              </w:rPr>
            </w:pPr>
            <w:r>
              <w:rPr>
                <w:rFonts w:ascii="宋体" w:hAnsi="宋体" w:eastAsia="宋体"/>
                <w:sz w:val="20"/>
                <w:szCs w:val="20"/>
              </w:rPr>
              <w:t>76</w:t>
            </w:r>
          </w:p>
        </w:tc>
        <w:tc>
          <w:tcPr>
            <w:tcW w:w="992" w:type="dxa"/>
          </w:tcPr>
          <w:p w14:paraId="13ABB2C0">
            <w:pPr>
              <w:jc w:val="center"/>
              <w:rPr>
                <w:rFonts w:ascii="宋体" w:hAnsi="宋体" w:eastAsia="宋体"/>
                <w:sz w:val="20"/>
                <w:szCs w:val="20"/>
              </w:rPr>
            </w:pPr>
            <w:r>
              <w:rPr>
                <w:rFonts w:ascii="宋体" w:hAnsi="宋体" w:eastAsia="宋体"/>
                <w:sz w:val="20"/>
                <w:szCs w:val="20"/>
              </w:rPr>
              <w:t>-</w:t>
            </w:r>
          </w:p>
        </w:tc>
        <w:tc>
          <w:tcPr>
            <w:tcW w:w="1276" w:type="dxa"/>
            <w:vAlign w:val="center"/>
          </w:tcPr>
          <w:p w14:paraId="57EEEA65">
            <w:pPr>
              <w:jc w:val="center"/>
              <w:rPr>
                <w:rFonts w:ascii="宋体" w:hAnsi="宋体" w:eastAsia="宋体"/>
                <w:sz w:val="20"/>
                <w:szCs w:val="20"/>
              </w:rPr>
            </w:pPr>
            <w:r>
              <w:rPr>
                <w:rFonts w:ascii="宋体" w:hAnsi="宋体" w:eastAsia="宋体"/>
                <w:sz w:val="20"/>
                <w:szCs w:val="20"/>
              </w:rPr>
              <w:t>67.6</w:t>
            </w:r>
            <w:r>
              <w:rPr>
                <w:rFonts w:hint="eastAsia" w:ascii="宋体" w:hAnsi="宋体" w:eastAsia="宋体"/>
                <w:sz w:val="20"/>
                <w:szCs w:val="20"/>
              </w:rPr>
              <w:t>5</w:t>
            </w:r>
          </w:p>
        </w:tc>
        <w:tc>
          <w:tcPr>
            <w:tcW w:w="1275" w:type="dxa"/>
            <w:vAlign w:val="center"/>
          </w:tcPr>
          <w:p w14:paraId="1CD964C9">
            <w:pPr>
              <w:jc w:val="center"/>
              <w:rPr>
                <w:rFonts w:ascii="宋体" w:hAnsi="宋体" w:eastAsia="宋体"/>
                <w:sz w:val="20"/>
                <w:szCs w:val="20"/>
              </w:rPr>
            </w:pPr>
            <w:r>
              <w:rPr>
                <w:rFonts w:hint="eastAsia" w:ascii="宋体" w:hAnsi="宋体" w:eastAsia="宋体"/>
                <w:sz w:val="20"/>
                <w:szCs w:val="20"/>
              </w:rPr>
              <w:t>-</w:t>
            </w:r>
          </w:p>
        </w:tc>
        <w:tc>
          <w:tcPr>
            <w:tcW w:w="851" w:type="dxa"/>
            <w:noWrap/>
            <w:vAlign w:val="center"/>
          </w:tcPr>
          <w:p w14:paraId="13ABA497">
            <w:pPr>
              <w:rPr>
                <w:sz w:val="20"/>
                <w:szCs w:val="20"/>
              </w:rPr>
            </w:pPr>
            <w:r>
              <w:rPr>
                <w:rFonts w:hint="eastAsia"/>
                <w:sz w:val="20"/>
                <w:szCs w:val="20"/>
              </w:rPr>
              <w:t>约束性</w:t>
            </w:r>
          </w:p>
        </w:tc>
        <w:tc>
          <w:tcPr>
            <w:tcW w:w="672" w:type="dxa"/>
          </w:tcPr>
          <w:p w14:paraId="4C4CFAC0">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bl>
    <w:p w14:paraId="09033593">
      <w:pPr>
        <w:pStyle w:val="17"/>
        <w:adjustRightInd w:val="0"/>
        <w:snapToGrid w:val="0"/>
        <w:spacing w:after="0" w:line="400" w:lineRule="exact"/>
        <w:ind w:left="-566" w:leftChars="-177" w:firstLine="0" w:firstLineChars="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注：1.[]内为累计数。</w:t>
      </w:r>
    </w:p>
    <w:p w14:paraId="4C4ECD85">
      <w:pPr>
        <w:pStyle w:val="17"/>
        <w:adjustRightInd w:val="0"/>
        <w:snapToGrid w:val="0"/>
        <w:spacing w:after="0" w:line="400" w:lineRule="exact"/>
        <w:ind w:left="-566" w:leftChars="-177" w:firstLine="48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2. 地区生产总值、人均地区生产总值绝对数按当年价，地区生产总值、人均地区生产总值增速为实际增速。</w:t>
      </w:r>
    </w:p>
    <w:p w14:paraId="7AA6272C">
      <w:pPr>
        <w:pStyle w:val="17"/>
        <w:adjustRightInd w:val="0"/>
        <w:snapToGrid w:val="0"/>
        <w:spacing w:after="0" w:line="400" w:lineRule="exact"/>
        <w:ind w:left="-566" w:leftChars="-177" w:firstLine="48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3. 全国第七次人口普查结果尚未公布，对应的常住人口数、人均地区生产总值、城镇人口城镇化率均为预计数。</w:t>
      </w:r>
    </w:p>
    <w:p w14:paraId="6060FEFE">
      <w:pPr>
        <w:pStyle w:val="17"/>
        <w:adjustRightInd w:val="0"/>
        <w:snapToGrid w:val="0"/>
        <w:spacing w:after="0" w:line="400" w:lineRule="exact"/>
        <w:ind w:left="-566" w:leftChars="-177" w:firstLine="480"/>
        <w:jc w:val="left"/>
        <w:rPr>
          <w:rFonts w:ascii="宋体" w:hAnsi="宋体"/>
          <w:color w:val="0D0D0D" w:themeColor="text1" w:themeTint="F2"/>
          <w:kern w:val="0"/>
          <w:sz w:val="24"/>
          <w14:textFill>
            <w14:solidFill>
              <w14:schemeClr w14:val="tx1">
                <w14:lumMod w14:val="95000"/>
                <w14:lumOff w14:val="5000"/>
              </w14:schemeClr>
            </w14:solidFill>
          </w14:textFill>
        </w:rPr>
      </w:pPr>
      <w:r>
        <w:rPr>
          <w:rFonts w:hint="eastAsia" w:ascii="宋体" w:hAnsi="宋体"/>
          <w:color w:val="0D0D0D" w:themeColor="text1" w:themeTint="F2"/>
          <w:kern w:val="0"/>
          <w:sz w:val="24"/>
          <w14:textFill>
            <w14:solidFill>
              <w14:schemeClr w14:val="tx1">
                <w14:lumMod w14:val="95000"/>
                <w14:lumOff w14:val="5000"/>
              </w14:schemeClr>
            </w14:solidFill>
          </w14:textFill>
        </w:rPr>
        <w:t>4. 单位GDP能源消耗、单位工业增加值用水量、主要污染物排放量，待市核定。</w:t>
      </w:r>
    </w:p>
    <w:p w14:paraId="683A91C3">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4" w:name="_Toc1173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发展环境</w:t>
      </w:r>
      <w:bookmarkEnd w:id="14"/>
    </w:p>
    <w:p w14:paraId="58065A08">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“十四五”时期，经济社会发展面临新时代、新阶段，新矛盾、新问题，新机遇、新挑战，新目标、新任务等一系列新情况，国内外环境的深刻变化为我区带来一系列新机遇新挑战。</w:t>
      </w:r>
      <w:r>
        <w:rPr>
          <w:rFonts w:hint="eastAsia" w:ascii="宋体" w:hAnsi="宋体"/>
          <w:b/>
          <w:bCs/>
          <w:color w:val="0D0D0D" w:themeColor="text1" w:themeTint="F2"/>
          <w:szCs w:val="32"/>
          <w14:textFill>
            <w14:solidFill>
              <w14:schemeClr w14:val="tx1">
                <w14:lumMod w14:val="95000"/>
                <w14:lumOff w14:val="5000"/>
              </w14:schemeClr>
            </w14:solidFill>
          </w14:textFill>
        </w:rPr>
        <w:t>从国际看，</w:t>
      </w:r>
      <w:r>
        <w:rPr>
          <w:rFonts w:hint="eastAsia" w:ascii="宋体" w:hAnsi="宋体"/>
          <w:color w:val="0D0D0D" w:themeColor="text1" w:themeTint="F2"/>
          <w:szCs w:val="32"/>
          <w14:textFill>
            <w14:solidFill>
              <w14:schemeClr w14:val="tx1">
                <w14:lumMod w14:val="95000"/>
                <w14:lumOff w14:val="5000"/>
              </w14:schemeClr>
            </w14:solidFill>
          </w14:textFill>
        </w:rPr>
        <w:t>世界正处在百年未有之大变局之中，国际环境日趋复杂，全球经济进入以低增长为主要特征的新平庸时期。</w:t>
      </w:r>
      <w:r>
        <w:rPr>
          <w:rFonts w:hint="eastAsia" w:ascii="宋体" w:hAnsi="宋体"/>
          <w:b/>
          <w:bCs/>
          <w:color w:val="0D0D0D" w:themeColor="text1" w:themeTint="F2"/>
          <w:szCs w:val="32"/>
          <w14:textFill>
            <w14:solidFill>
              <w14:schemeClr w14:val="tx1">
                <w14:lumMod w14:val="95000"/>
                <w14:lumOff w14:val="5000"/>
              </w14:schemeClr>
            </w14:solidFill>
          </w14:textFill>
        </w:rPr>
        <w:t>从国内看，</w:t>
      </w:r>
      <w:r>
        <w:rPr>
          <w:rFonts w:hint="eastAsia" w:ascii="宋体" w:hAnsi="宋体"/>
          <w:color w:val="0D0D0D" w:themeColor="text1" w:themeTint="F2"/>
          <w:szCs w:val="32"/>
          <w14:textFill>
            <w14:solidFill>
              <w14:schemeClr w14:val="tx1">
                <w14:lumMod w14:val="95000"/>
                <w14:lumOff w14:val="5000"/>
              </w14:schemeClr>
            </w14:solidFill>
          </w14:textFill>
        </w:rPr>
        <w:t>我国坚持中华民族伟大复兴的战略全局，由全面建成小康社会转向全面建成社会主义现代化强国。伴随主要矛盾变化，经济社会发展面临新要求，虽然新冠疫情对我国短期经济社会发展造成较大冲击，但我国发展仍然处于重要战略机遇期。</w:t>
      </w:r>
      <w:r>
        <w:rPr>
          <w:rFonts w:hint="eastAsia" w:ascii="宋体" w:hAnsi="宋体"/>
          <w:b/>
          <w:bCs/>
          <w:color w:val="0D0D0D" w:themeColor="text1" w:themeTint="F2"/>
          <w:szCs w:val="32"/>
          <w14:textFill>
            <w14:solidFill>
              <w14:schemeClr w14:val="tx1">
                <w14:lumMod w14:val="95000"/>
                <w14:lumOff w14:val="5000"/>
              </w14:schemeClr>
            </w14:solidFill>
          </w14:textFill>
        </w:rPr>
        <w:t>从省内看，</w:t>
      </w:r>
      <w:r>
        <w:rPr>
          <w:rFonts w:hint="eastAsia" w:ascii="宋体" w:hAnsi="宋体"/>
          <w:color w:val="0D0D0D" w:themeColor="text1" w:themeTint="F2"/>
          <w:szCs w:val="32"/>
          <w14:textFill>
            <w14:solidFill>
              <w14:schemeClr w14:val="tx1">
                <w14:lumMod w14:val="95000"/>
                <w14:lumOff w14:val="5000"/>
              </w14:schemeClr>
            </w14:solidFill>
          </w14:textFill>
        </w:rPr>
        <w:t>粤港澳大湾区和深圳中国特色社会主义先行示范区建设为广东在新时代继续走在全国前列提供了千载难逢的重大历史机遇。</w:t>
      </w:r>
      <w:r>
        <w:rPr>
          <w:rFonts w:hint="eastAsia" w:ascii="宋体" w:hAnsi="宋体"/>
          <w:b/>
          <w:bCs/>
          <w:color w:val="0D0D0D" w:themeColor="text1" w:themeTint="F2"/>
          <w:szCs w:val="32"/>
          <w14:textFill>
            <w14:solidFill>
              <w14:schemeClr w14:val="tx1">
                <w14:lumMod w14:val="95000"/>
                <w14:lumOff w14:val="5000"/>
              </w14:schemeClr>
            </w14:solidFill>
          </w14:textFill>
        </w:rPr>
        <w:t>从全市看，</w:t>
      </w:r>
      <w:r>
        <w:rPr>
          <w:rFonts w:hint="eastAsia" w:ascii="宋体" w:hAnsi="宋体"/>
          <w:color w:val="0D0D0D" w:themeColor="text1" w:themeTint="F2"/>
          <w:szCs w:val="32"/>
          <w14:textFill>
            <w14:solidFill>
              <w14:schemeClr w14:val="tx1">
                <w14:lumMod w14:val="95000"/>
                <w14:lumOff w14:val="5000"/>
              </w14:schemeClr>
            </w14:solidFill>
          </w14:textFill>
        </w:rPr>
        <w:t>广州、佛山、肇庆、清远、云浮、韶关六市认真贯彻落实中央、省有关部署，编制并印发《广佛肇清云韶经济发展规划（</w:t>
      </w:r>
      <w:r>
        <w:rPr>
          <w:rFonts w:ascii="宋体" w:hAnsi="宋体"/>
          <w:color w:val="0D0D0D" w:themeColor="text1" w:themeTint="F2"/>
          <w:szCs w:val="32"/>
          <w14:textFill>
            <w14:solidFill>
              <w14:schemeClr w14:val="tx1">
                <w14:lumMod w14:val="95000"/>
                <w14:lumOff w14:val="5000"/>
              </w14:schemeClr>
            </w14:solidFill>
          </w14:textFill>
        </w:rPr>
        <w:t>2019-2025</w:t>
      </w:r>
      <w:r>
        <w:rPr>
          <w:rFonts w:hint="eastAsia" w:ascii="宋体" w:hAnsi="宋体"/>
          <w:color w:val="0D0D0D" w:themeColor="text1" w:themeTint="F2"/>
          <w:szCs w:val="32"/>
          <w14:textFill>
            <w14:solidFill>
              <w14:schemeClr w14:val="tx1">
                <w14:lumMod w14:val="95000"/>
                <w14:lumOff w14:val="5000"/>
              </w14:schemeClr>
            </w14:solidFill>
          </w14:textFill>
        </w:rPr>
        <w:t>年）》，进一步加快我市与周边区域开放合作发展。我区要结合省委赋予云浮“打造粤北生态建设发展新高地、推动乡村振兴走在全省前列”新定位，聚焦云浮打造融湾发展“六地”的战略目标，充分吸取“双区”建设外溢资源，不断优化区域产业布局，推动经济高质量发展。</w:t>
      </w:r>
    </w:p>
    <w:p w14:paraId="79452BAE">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“十四五”时期我区面临的机遇主要有：</w:t>
      </w:r>
    </w:p>
    <w:p w14:paraId="03BD311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15" w:name="_Hlk60039220"/>
      <w:r>
        <w:rPr>
          <w:rFonts w:hint="eastAsia" w:ascii="宋体" w:hAnsi="宋体"/>
          <w:b/>
          <w:bCs/>
          <w:color w:val="0D0D0D" w:themeColor="text1" w:themeTint="F2"/>
          <w:szCs w:val="32"/>
          <w14:textFill>
            <w14:solidFill>
              <w14:schemeClr w14:val="tx1">
                <w14:lumMod w14:val="95000"/>
                <w14:lumOff w14:val="5000"/>
              </w14:schemeClr>
            </w14:solidFill>
          </w14:textFill>
        </w:rPr>
        <w:t>全球经济格局重塑带来的机遇</w:t>
      </w:r>
      <w:bookmarkEnd w:id="15"/>
      <w:r>
        <w:rPr>
          <w:rFonts w:hint="eastAsia" w:ascii="宋体" w:hAnsi="宋体"/>
          <w:b/>
          <w:bCs/>
          <w:color w:val="0D0D0D" w:themeColor="text1" w:themeTint="F2"/>
          <w:szCs w:val="32"/>
          <w14:textFill>
            <w14:solidFill>
              <w14:schemeClr w14:val="tx1">
                <w14:lumMod w14:val="95000"/>
                <w14:lumOff w14:val="5000"/>
              </w14:schemeClr>
            </w14:solidFill>
          </w14:textFill>
        </w:rPr>
        <w:t>。</w:t>
      </w:r>
      <w:bookmarkStart w:id="16" w:name="_Hlk60039278"/>
      <w:r>
        <w:rPr>
          <w:rFonts w:hint="eastAsia" w:ascii="宋体" w:hAnsi="宋体"/>
          <w:color w:val="0D0D0D" w:themeColor="text1" w:themeTint="F2"/>
          <w:szCs w:val="32"/>
          <w14:textFill>
            <w14:solidFill>
              <w14:schemeClr w14:val="tx1">
                <w14:lumMod w14:val="95000"/>
                <w14:lumOff w14:val="5000"/>
              </w14:schemeClr>
            </w14:solidFill>
          </w14:textFill>
        </w:rPr>
        <w:t>新一轮科技革命和产业革命的大规模快速发展，加上全球化进程深刻的传播、扩散、冲刷作用，使得世界正在形成新的政治、经济、社会、文化生态。多</w:t>
      </w:r>
      <w:bookmarkStart w:id="17" w:name="_Hlk60039436"/>
      <w:r>
        <w:rPr>
          <w:rFonts w:hint="eastAsia" w:ascii="宋体" w:hAnsi="宋体"/>
          <w:color w:val="0D0D0D" w:themeColor="text1" w:themeTint="F2"/>
          <w:szCs w:val="32"/>
          <w14:textFill>
            <w14:solidFill>
              <w14:schemeClr w14:val="tx1">
                <w14:lumMod w14:val="95000"/>
                <w14:lumOff w14:val="5000"/>
              </w14:schemeClr>
            </w14:solidFill>
          </w14:textFill>
        </w:rPr>
        <w:t>种重大颠覆性技术不断涌现，</w:t>
      </w:r>
      <w:bookmarkEnd w:id="17"/>
      <w:r>
        <w:rPr>
          <w:rFonts w:hint="eastAsia" w:ascii="宋体" w:hAnsi="宋体"/>
          <w:color w:val="0D0D0D" w:themeColor="text1" w:themeTint="F2"/>
          <w:szCs w:val="32"/>
          <w14:textFill>
            <w14:solidFill>
              <w14:schemeClr w14:val="tx1">
                <w14:lumMod w14:val="95000"/>
                <w14:lumOff w14:val="5000"/>
              </w14:schemeClr>
            </w14:solidFill>
          </w14:textFill>
        </w:rPr>
        <w:t>科技成果转化速度明显加快，产业组织形式和产业链条更具垄断性。这对全球创新版图的重构和全球经济结构的重塑作用将变得更加突出，将给世界带来无限发展的潜力。我区要深度参与国内外前沿科技和产业发展，大力发展科学技术并推进科技向产业转化，发展新产业、新业态、新模式，推动经济高质量发展。</w:t>
      </w:r>
    </w:p>
    <w:bookmarkEnd w:id="16"/>
    <w:p w14:paraId="21FE5F2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我国构建国内国际双循环新格局带来的机遇。</w:t>
      </w:r>
      <w:bookmarkStart w:id="18" w:name="_Hlk60039575"/>
      <w:r>
        <w:rPr>
          <w:rFonts w:hint="eastAsia" w:ascii="宋体" w:hAnsi="宋体"/>
          <w:color w:val="0D0D0D" w:themeColor="text1" w:themeTint="F2"/>
          <w:szCs w:val="32"/>
          <w14:textFill>
            <w14:solidFill>
              <w14:schemeClr w14:val="tx1">
                <w14:lumMod w14:val="95000"/>
                <w14:lumOff w14:val="5000"/>
              </w14:schemeClr>
            </w14:solidFill>
          </w14:textFill>
        </w:rPr>
        <w:t>面对当前国际经济环境的深刻变化，加快培育完整内需体系，把实施扩大内需战略与深化供给侧结构性改革有机结合起来，逐步形成以国内大循环为主体、国内国际双循环相互促进的新发展格局，有利于加快转变发展方式，推动质量变革、效率变革、动力变革，实现更高质量、更有效率、更加公平、更可持续、更加安全的发展。在积极融入双循环新发展格局的进程中，我区要坚持扩大内需，优化消费环境，以供给侧结构性改革为主线，推动供需匹配，加快高水平开放，提升外贸发展的质量和对经济发展效益的贡献，同时协同推动国内市场销售与国际市场销售，实现内外贸融合发展。</w:t>
      </w:r>
    </w:p>
    <w:bookmarkEnd w:id="18"/>
    <w:p w14:paraId="41BD02B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粤港澳大湾区和广州都市圈建设带来的机遇。</w:t>
      </w:r>
      <w:bookmarkStart w:id="19" w:name="_Hlk60039781"/>
      <w:r>
        <w:rPr>
          <w:rFonts w:hint="eastAsia" w:ascii="宋体" w:hAnsi="宋体"/>
          <w:color w:val="0D0D0D" w:themeColor="text1" w:themeTint="F2"/>
          <w:szCs w:val="32"/>
          <w14:textFill>
            <w14:solidFill>
              <w14:schemeClr w14:val="tx1">
                <w14:lumMod w14:val="95000"/>
                <w14:lumOff w14:val="5000"/>
              </w14:schemeClr>
            </w14:solidFill>
          </w14:textFill>
        </w:rPr>
        <w:t>迈进新时代，粤港澳大湾区建设为广东继续走在全国前列提供了难得机遇和平台，为新时代云城改革开放再出发提供了重大历史机遇。《广东省开发区总体发展规划（</w:t>
      </w:r>
      <w:r>
        <w:rPr>
          <w:rFonts w:ascii="宋体" w:hAnsi="宋体"/>
          <w:color w:val="0D0D0D" w:themeColor="text1" w:themeTint="F2"/>
          <w:szCs w:val="32"/>
          <w14:textFill>
            <w14:solidFill>
              <w14:schemeClr w14:val="tx1">
                <w14:lumMod w14:val="95000"/>
                <w14:lumOff w14:val="5000"/>
              </w14:schemeClr>
            </w14:solidFill>
          </w14:textFill>
        </w:rPr>
        <w:t>2020</w:t>
      </w:r>
      <w:r>
        <w:rPr>
          <w:rFonts w:hint="eastAsia" w:ascii="宋体" w:hAnsi="宋体"/>
          <w:color w:val="0D0D0D" w:themeColor="text1" w:themeTint="F2"/>
          <w:szCs w:val="32"/>
          <w14:textFill>
            <w14:solidFill>
              <w14:schemeClr w14:val="tx1">
                <w14:lumMod w14:val="95000"/>
                <w14:lumOff w14:val="5000"/>
              </w14:schemeClr>
            </w14:solidFill>
          </w14:textFill>
        </w:rPr>
        <w:t>—</w:t>
      </w:r>
      <w:r>
        <w:rPr>
          <w:rFonts w:ascii="宋体" w:hAnsi="宋体"/>
          <w:color w:val="0D0D0D" w:themeColor="text1" w:themeTint="F2"/>
          <w:szCs w:val="32"/>
          <w14:textFill>
            <w14:solidFill>
              <w14:schemeClr w14:val="tx1">
                <w14:lumMod w14:val="95000"/>
                <w14:lumOff w14:val="5000"/>
              </w14:schemeClr>
            </w14:solidFill>
          </w14:textFill>
        </w:rPr>
        <w:t>2035</w:t>
      </w:r>
      <w:r>
        <w:rPr>
          <w:rFonts w:hint="eastAsia" w:ascii="宋体" w:hAnsi="宋体"/>
          <w:color w:val="0D0D0D" w:themeColor="text1" w:themeTint="F2"/>
          <w:szCs w:val="32"/>
          <w14:textFill>
            <w14:solidFill>
              <w14:schemeClr w14:val="tx1">
                <w14:lumMod w14:val="95000"/>
                <w14:lumOff w14:val="5000"/>
              </w14:schemeClr>
            </w14:solidFill>
          </w14:textFill>
        </w:rPr>
        <w:t>年）》首次将云浮纳入广州都市圈的范围，我区将优先享受到中心城市的辐射，获得更多资源对接的机会。全区上下要抢抓粤港澳大湾区以及广州都市圈建设的重大历史机遇，坚持把融入“双区”发展作为主要战略方向，统筹推进产业转型升级、城市更新，积极做好承接核心区、大湾区城市功能疏解等各项准备。</w:t>
      </w:r>
    </w:p>
    <w:bookmarkEnd w:id="19"/>
    <w:p w14:paraId="408D1E49">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0" w:name="_Hlk60039817"/>
      <w:r>
        <w:rPr>
          <w:rFonts w:hint="eastAsia" w:ascii="宋体" w:hAnsi="宋体"/>
          <w:b/>
          <w:bCs/>
          <w:color w:val="0D0D0D" w:themeColor="text1" w:themeTint="F2"/>
          <w:szCs w:val="32"/>
          <w14:textFill>
            <w14:solidFill>
              <w14:schemeClr w14:val="tx1">
                <w14:lumMod w14:val="95000"/>
                <w14:lumOff w14:val="5000"/>
              </w14:schemeClr>
            </w14:solidFill>
          </w14:textFill>
        </w:rPr>
        <w:t>“一核一带一区”区域发展新格局带来的机遇。</w:t>
      </w:r>
      <w:bookmarkEnd w:id="20"/>
      <w:bookmarkStart w:id="21" w:name="_Hlk60039928"/>
      <w:r>
        <w:rPr>
          <w:rFonts w:hint="eastAsia" w:ascii="宋体" w:hAnsi="宋体"/>
          <w:color w:val="0D0D0D" w:themeColor="text1" w:themeTint="F2"/>
          <w:szCs w:val="32"/>
          <w14:textFill>
            <w14:solidFill>
              <w14:schemeClr w14:val="tx1">
                <w14:lumMod w14:val="95000"/>
                <w14:lumOff w14:val="5000"/>
              </w14:schemeClr>
            </w14:solidFill>
          </w14:textFill>
        </w:rPr>
        <w:t>构建“一核一带一区”区域发展新格局，是广东省委贯彻落实习近平总书记关于区域协调发展的战略思想和对广东提出实现“四个走在全国前列”、当好“两个重要窗口”的战略部署，是新时代广东谋划新的更大作为的路线图。云城区要紧扣省委李希书记调研云浮赋予“打造粤北生态建设发展新高地、推进乡村振兴走在全省前列”的目标定位，立足北部生态发展区，坚持稳中求进工作总基调，坚持新发展理念，围绕市委市政府提出的“</w:t>
      </w:r>
      <w:r>
        <w:rPr>
          <w:rFonts w:ascii="宋体" w:hAnsi="宋体"/>
          <w:color w:val="0D0D0D" w:themeColor="text1" w:themeTint="F2"/>
          <w:szCs w:val="32"/>
          <w14:textFill>
            <w14:solidFill>
              <w14:schemeClr w14:val="tx1">
                <w14:lumMod w14:val="95000"/>
                <w14:lumOff w14:val="5000"/>
              </w14:schemeClr>
            </w14:solidFill>
          </w14:textFill>
        </w:rPr>
        <w:t>4321</w:t>
      </w:r>
      <w:r>
        <w:rPr>
          <w:rFonts w:hint="eastAsia" w:ascii="宋体" w:hAnsi="宋体"/>
          <w:color w:val="0D0D0D" w:themeColor="text1" w:themeTint="F2"/>
          <w:szCs w:val="32"/>
          <w14:textFill>
            <w14:solidFill>
              <w14:schemeClr w14:val="tx1">
                <w14:lumMod w14:val="95000"/>
                <w14:lumOff w14:val="5000"/>
              </w14:schemeClr>
            </w14:solidFill>
          </w14:textFill>
        </w:rPr>
        <w:t>”重点工程布局，构建生态产业体系，推动经济社会高质量发展。</w:t>
      </w:r>
    </w:p>
    <w:p w14:paraId="302ADDFE">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“十四五”时期我区面临的挑战主要有：</w:t>
      </w:r>
    </w:p>
    <w:bookmarkEnd w:id="21"/>
    <w:p w14:paraId="6608A322">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2" w:name="_Hlk60040106"/>
      <w:r>
        <w:rPr>
          <w:rFonts w:hint="eastAsia" w:ascii="宋体" w:hAnsi="宋体"/>
          <w:b/>
          <w:bCs/>
          <w:color w:val="0D0D0D" w:themeColor="text1" w:themeTint="F2"/>
          <w:szCs w:val="32"/>
          <w14:textFill>
            <w14:solidFill>
              <w14:schemeClr w14:val="tx1">
                <w14:lumMod w14:val="95000"/>
                <w14:lumOff w14:val="5000"/>
              </w14:schemeClr>
            </w14:solidFill>
          </w14:textFill>
        </w:rPr>
        <w:t>经济社会环境更趋复杂</w:t>
      </w:r>
      <w:bookmarkEnd w:id="22"/>
      <w:r>
        <w:rPr>
          <w:rFonts w:hint="eastAsia"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当前，</w:t>
      </w:r>
      <w:bookmarkStart w:id="23" w:name="_Hlk60040123"/>
      <w:r>
        <w:rPr>
          <w:rFonts w:hint="eastAsia" w:ascii="宋体" w:hAnsi="宋体"/>
          <w:color w:val="0D0D0D" w:themeColor="text1" w:themeTint="F2"/>
          <w:szCs w:val="32"/>
          <w14:textFill>
            <w14:solidFill>
              <w14:schemeClr w14:val="tx1">
                <w14:lumMod w14:val="95000"/>
                <w14:lumOff w14:val="5000"/>
              </w14:schemeClr>
            </w14:solidFill>
          </w14:textFill>
        </w:rPr>
        <w:t>新冠疫情</w:t>
      </w:r>
      <w:bookmarkEnd w:id="23"/>
      <w:bookmarkStart w:id="24" w:name="_Hlk60040134"/>
      <w:r>
        <w:rPr>
          <w:rFonts w:hint="eastAsia" w:ascii="宋体" w:hAnsi="宋体"/>
          <w:color w:val="0D0D0D" w:themeColor="text1" w:themeTint="F2"/>
          <w:szCs w:val="32"/>
          <w14:textFill>
            <w14:solidFill>
              <w14:schemeClr w14:val="tx1">
                <w14:lumMod w14:val="95000"/>
                <w14:lumOff w14:val="5000"/>
              </w14:schemeClr>
            </w14:solidFill>
          </w14:textFill>
        </w:rPr>
        <w:t>对全球经济的深层次影响逐步显现，</w:t>
      </w:r>
      <w:bookmarkEnd w:id="24"/>
      <w:r>
        <w:rPr>
          <w:rFonts w:hint="eastAsia" w:ascii="宋体" w:hAnsi="宋体"/>
          <w:color w:val="0D0D0D" w:themeColor="text1" w:themeTint="F2"/>
          <w:szCs w:val="32"/>
          <w14:textFill>
            <w14:solidFill>
              <w14:schemeClr w14:val="tx1">
                <w14:lumMod w14:val="95000"/>
                <w14:lumOff w14:val="5000"/>
              </w14:schemeClr>
            </w14:solidFill>
          </w14:textFill>
        </w:rPr>
        <w:t>我国发展面临的风险挑战前所未有，部分行业难免受到冲击，</w:t>
      </w:r>
      <w:bookmarkStart w:id="25" w:name="_Hlk60040144"/>
      <w:r>
        <w:rPr>
          <w:rFonts w:hint="eastAsia" w:ascii="宋体" w:hAnsi="宋体"/>
          <w:color w:val="0D0D0D" w:themeColor="text1" w:themeTint="F2"/>
          <w:szCs w:val="32"/>
          <w14:textFill>
            <w14:solidFill>
              <w14:schemeClr w14:val="tx1">
                <w14:lumMod w14:val="95000"/>
                <w14:lumOff w14:val="5000"/>
              </w14:schemeClr>
            </w14:solidFill>
          </w14:textFill>
        </w:rPr>
        <w:t>经济增速呈现逐级放缓的态势，</w:t>
      </w:r>
      <w:bookmarkEnd w:id="25"/>
      <w:r>
        <w:rPr>
          <w:rFonts w:hint="eastAsia" w:ascii="宋体" w:hAnsi="宋体"/>
          <w:color w:val="0D0D0D" w:themeColor="text1" w:themeTint="F2"/>
          <w:szCs w:val="32"/>
          <w14:textFill>
            <w14:solidFill>
              <w14:schemeClr w14:val="tx1">
                <w14:lumMod w14:val="95000"/>
                <w14:lumOff w14:val="5000"/>
              </w14:schemeClr>
            </w14:solidFill>
          </w14:textFill>
        </w:rPr>
        <w:t>一些深层次矛盾还未完全化解，导致我区谋求快速发展、壮大经济总量动能不足。另一方面新时期面临的社会发展难题较多。全面深化改革涉及利益关系的深层次问题，改革攻坚更具复杂性和艰巨性，社会结构变动加剧，利益主体日趋多元化，社会管理压力加大。</w:t>
      </w:r>
    </w:p>
    <w:p w14:paraId="718ED26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6" w:name="_Hlk60040160"/>
      <w:r>
        <w:rPr>
          <w:rFonts w:hint="eastAsia" w:ascii="宋体" w:hAnsi="宋体"/>
          <w:b/>
          <w:bCs/>
          <w:color w:val="0D0D0D" w:themeColor="text1" w:themeTint="F2"/>
          <w:szCs w:val="32"/>
          <w14:textFill>
            <w14:solidFill>
              <w14:schemeClr w14:val="tx1">
                <w14:lumMod w14:val="95000"/>
                <w14:lumOff w14:val="5000"/>
              </w14:schemeClr>
            </w14:solidFill>
          </w14:textFill>
        </w:rPr>
        <w:t>整体产业发展水平较低。</w:t>
      </w:r>
      <w:r>
        <w:rPr>
          <w:rFonts w:hint="eastAsia" w:ascii="宋体" w:hAnsi="宋体"/>
          <w:color w:val="0D0D0D" w:themeColor="text1" w:themeTint="F2"/>
          <w:szCs w:val="32"/>
          <w14:textFill>
            <w14:solidFill>
              <w14:schemeClr w14:val="tx1">
                <w14:lumMod w14:val="95000"/>
                <w14:lumOff w14:val="5000"/>
              </w14:schemeClr>
            </w14:solidFill>
          </w14:textFill>
        </w:rPr>
        <w:t>“十三五”以来，我区虽然在招商引资工作上取得一定成绩，但大企业、大项目较少，形成基地企业集中度不强，园区和集聚基地各种生产要素及基础设施建设滞后，产业集聚集约度偏低。新兴产业培育还处于初级阶段，产业层次不高。在经济下行及环保治理双重压力下，由于大部分企业对科技创新重视不足，研发经费投入强度不大，自主知识产权意识及科技成果转化率不高，内生发展动力缺乏，制约了新兴产业发展、传统产业转型升级的步伐。</w:t>
      </w:r>
    </w:p>
    <w:bookmarkEnd w:id="26"/>
    <w:p w14:paraId="6D600678">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27" w:name="_Hlk60040308"/>
      <w:r>
        <w:rPr>
          <w:rFonts w:hint="eastAsia" w:ascii="宋体" w:hAnsi="宋体"/>
          <w:b/>
          <w:bCs/>
          <w:color w:val="0D0D0D" w:themeColor="text1" w:themeTint="F2"/>
          <w:szCs w:val="32"/>
          <w14:textFill>
            <w14:solidFill>
              <w14:schemeClr w14:val="tx1">
                <w14:lumMod w14:val="95000"/>
                <w14:lumOff w14:val="5000"/>
              </w14:schemeClr>
            </w14:solidFill>
          </w14:textFill>
        </w:rPr>
        <w:t>民生短板亟需补齐。</w:t>
      </w:r>
      <w:r>
        <w:rPr>
          <w:rFonts w:hint="eastAsia" w:ascii="宋体" w:hAnsi="宋体"/>
          <w:color w:val="0D0D0D" w:themeColor="text1" w:themeTint="F2"/>
          <w:szCs w:val="32"/>
          <w14:textFill>
            <w14:solidFill>
              <w14:schemeClr w14:val="tx1">
                <w14:lumMod w14:val="95000"/>
                <w14:lumOff w14:val="5000"/>
              </w14:schemeClr>
            </w14:solidFill>
          </w14:textFill>
        </w:rPr>
        <w:t>城乡基础设施历史欠账较多，城市管理水平需进一步提升。广佛肇云高速、深南高铁等重大交通基础设施建设有待开发，市政道路、产业通道和农村道路硬底化建设仍需加快推进。水利、能源、信息等基础设施亟待完善。工业废水增长较快，农业面源污染缺乏有效控制，生活污水超负荷，治污减排工程实施难度大，污水处理设施建设滞后。教育、医疗、社会保障等优质公共服务资源供给不足，尤其教育公共卫生服务方面还存在很多突出短板急需补齐，保障和改善民生任务艰巨。</w:t>
      </w:r>
    </w:p>
    <w:bookmarkEnd w:id="27"/>
    <w:p w14:paraId="6A7443FE">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28" w:name="_Hlk60040490"/>
      <w:r>
        <w:rPr>
          <w:rFonts w:hint="eastAsia" w:ascii="宋体" w:hAnsi="宋体"/>
          <w:color w:val="0D0D0D" w:themeColor="text1" w:themeTint="F2"/>
          <w:szCs w:val="32"/>
          <w14:textFill>
            <w14:solidFill>
              <w14:schemeClr w14:val="tx1">
                <w14:lumMod w14:val="95000"/>
                <w14:lumOff w14:val="5000"/>
              </w14:schemeClr>
            </w14:solidFill>
          </w14:textFill>
        </w:rPr>
        <w:t>综合研判，“十四五”时期我区经济社会发展机遇与挑战并存，仍处于可以大有作为的重要战略机遇期，但内涵发生了深刻变化，正在由原来加快发展速度的机遇转变为加快转变经济发展方式的机遇，由原来规模快速扩张的机遇转变为提高发展质量和效益的机遇。面对发展环境和形势的重大转变，我区要深入贯彻新发展理念，增强发展动力，保持战略定力，勇于担当责任，奋力改革创新，充分利用并积极培育有利因素，主动应对并妥善化解风险挑战，实现跨越式发展，为云浮市经济增长和结构调整提供云城支撑。</w:t>
      </w:r>
      <w:bookmarkEnd w:id="28"/>
    </w:p>
    <w:p w14:paraId="4AA664A9">
      <w:pPr>
        <w:pStyle w:val="4"/>
        <w:adjustRightInd w:val="0"/>
        <w:snapToGrid w:val="0"/>
        <w:spacing w:before="120" w:after="120" w:line="78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29" w:name="_Toc30336"/>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第二章 总体要求和发展目标</w:t>
      </w:r>
      <w:bookmarkEnd w:id="29"/>
    </w:p>
    <w:p w14:paraId="7733E12B">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0" w:name="_Toc642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指导思想</w:t>
      </w:r>
      <w:bookmarkEnd w:id="30"/>
    </w:p>
    <w:p w14:paraId="7A62C0BC">
      <w:pPr>
        <w:pStyle w:val="183"/>
        <w:widowControl w:val="0"/>
        <w:ind w:firstLine="640"/>
        <w:rPr>
          <w:rFonts w:ascii="仿宋_GB2312"/>
          <w:szCs w:val="32"/>
        </w:rPr>
      </w:pPr>
      <w:r>
        <w:rPr>
          <w:rFonts w:hint="eastAsia" w:ascii="仿宋_GB231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落实党的基本理论、基本路线、基本方略，深入贯彻落实习近平总书记对广东系列重要讲话和重要指示批示精神，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聚焦习近平总书记赋予广东总目标总定位，紧扣省委省政府“1+1+9”工作部署和省委赋予云浮“打造粤北生态建设发展新高地、推动乡村振兴走在全省前列”的目标定位，立足“一区”、融入“一核”、协同“一带”，对接融入粤港澳大湾区、深圳先行示范区、珠三角核心区，坚定不移落实市委“4321”工程和推动“七大特色产业集群”“六地”建设，持续优化产业布局，大力提升中心城区首位度，大力实施乡村振兴战略，大力推进治理体系和治理能力现代化，统筹发展和安全，实现社会和谐稳定、高质量发展全面推进、经济实力大幅跃升，努力把云城建设成为市域消费中心、康养中心，奋力建设文明活力美丽幸福新云城，为助力广东“在全面建设社会主义现代化国家新征程中走在全国前列、创造新的辉煌”和云浮“打造粤北生态建设发展新高地，推动乡村振兴走在全省前列”彰显云城担当、体现云城作为、贡献云城力量。</w:t>
      </w:r>
    </w:p>
    <w:p w14:paraId="7AB72862">
      <w:pPr>
        <w:adjustRightInd w:val="0"/>
        <w:snapToGrid w:val="0"/>
        <w:spacing w:before="300" w:beforeLines="50" w:after="300" w:afterLines="50" w:line="600" w:lineRule="exact"/>
        <w:jc w:val="center"/>
        <w:outlineLvl w:val="1"/>
        <w:rPr>
          <w:rFonts w:ascii="宋体" w:hAnsi="宋体" w:eastAsia="楷体_GB2312"/>
          <w:b/>
          <w:bCs/>
          <w:kern w:val="0"/>
          <w:szCs w:val="32"/>
        </w:rPr>
      </w:pPr>
      <w:bookmarkStart w:id="31" w:name="_Toc28521"/>
      <w:r>
        <w:rPr>
          <w:rFonts w:hint="eastAsia" w:ascii="宋体" w:hAnsi="宋体" w:eastAsia="楷体_GB2312"/>
          <w:b/>
          <w:bCs/>
          <w:kern w:val="0"/>
          <w:szCs w:val="32"/>
        </w:rPr>
        <w:t>第二节 发展原则</w:t>
      </w:r>
      <w:bookmarkEnd w:id="31"/>
    </w:p>
    <w:p w14:paraId="56F189BA">
      <w:pPr>
        <w:pStyle w:val="39"/>
        <w:adjustRightInd w:val="0"/>
        <w:spacing w:line="600" w:lineRule="exact"/>
        <w:ind w:firstLine="643"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坚持党的全面领导。</w:t>
      </w:r>
      <w:r>
        <w:rPr>
          <w:rFonts w:hint="eastAsia" w:ascii="宋体" w:hAnsi="宋体"/>
          <w:color w:val="0D0D0D" w:themeColor="text1" w:themeTint="F2"/>
          <w14:textFill>
            <w14:solidFill>
              <w14:schemeClr w14:val="tx1">
                <w14:lumMod w14:val="95000"/>
                <w14:lumOff w14:val="5000"/>
              </w14:schemeClr>
            </w14:solidFill>
          </w14:textFill>
        </w:rPr>
        <w:t>坚决维护习近平总书记党中央的核心、全党的核心地位，坚决维护党中央权威和集中统一领导，坚持和完善党领导经济社会发展的体制机制，全面贯彻落实新时代党的建设总要求，不断提高贯彻落实新发展理念、构建新发展格局的能力和水平，为实现高质量发展提供根本保证。</w:t>
      </w:r>
    </w:p>
    <w:p w14:paraId="2B69BC14">
      <w:pPr>
        <w:pStyle w:val="39"/>
        <w:adjustRightInd w:val="0"/>
        <w:spacing w:line="600" w:lineRule="exact"/>
        <w:ind w:firstLine="643"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坚持以人民为中心。</w:t>
      </w:r>
      <w:r>
        <w:rPr>
          <w:rFonts w:hint="eastAsia" w:ascii="宋体" w:hAnsi="宋体"/>
          <w:color w:val="0D0D0D" w:themeColor="text1" w:themeTint="F2"/>
          <w14:textFill>
            <w14:solidFill>
              <w14:schemeClr w14:val="tx1">
                <w14:lumMod w14:val="95000"/>
                <w14:lumOff w14:val="5000"/>
              </w14:schemeClr>
            </w14:solidFill>
          </w14:textFill>
        </w:rPr>
        <w:t>坚持人民主体地位，坚持共同富裕方向，始终做到发展为了人民、发展依靠人民、发展成果由人民共享，维护人民根本利益，激发全区人民的积极性、主动性、创造性，促进社会公平，增进民生福祉，不断实现人民群众对美好生活的向往。</w:t>
      </w:r>
    </w:p>
    <w:p w14:paraId="40307F04">
      <w:pPr>
        <w:pStyle w:val="39"/>
        <w:adjustRightInd w:val="0"/>
        <w:spacing w:line="600" w:lineRule="exact"/>
        <w:ind w:firstLine="643"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坚持新发展理念。</w:t>
      </w:r>
      <w:r>
        <w:rPr>
          <w:rFonts w:hint="eastAsia" w:ascii="宋体" w:hAnsi="宋体"/>
          <w:color w:val="0D0D0D" w:themeColor="text1" w:themeTint="F2"/>
          <w14:textFill>
            <w14:solidFill>
              <w14:schemeClr w14:val="tx1">
                <w14:lumMod w14:val="95000"/>
                <w14:lumOff w14:val="5000"/>
              </w14:schemeClr>
            </w14:solidFill>
          </w14:textFill>
        </w:rPr>
        <w:t>把新发展理念贯穿发展全过程和各领域，坚决贯彻“创新、协调、绿色、开放、共享”五大理念，服务构建新发展格局，加快推动质量变革、效率变革、动力变革，实现更高质量、更有效率、更加公平、更可持续、更为安全的发展。</w:t>
      </w:r>
    </w:p>
    <w:p w14:paraId="5A9019B3">
      <w:pPr>
        <w:pStyle w:val="39"/>
        <w:adjustRightInd w:val="0"/>
        <w:spacing w:line="600" w:lineRule="exact"/>
        <w:ind w:firstLine="643"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坚持全面深化改革开放。</w:t>
      </w:r>
      <w:r>
        <w:rPr>
          <w:rFonts w:hint="eastAsia" w:ascii="宋体" w:hAnsi="宋体"/>
          <w:color w:val="0D0D0D" w:themeColor="text1" w:themeTint="F2"/>
          <w14:textFill>
            <w14:solidFill>
              <w14:schemeClr w14:val="tx1">
                <w14:lumMod w14:val="95000"/>
                <w14:lumOff w14:val="5000"/>
              </w14:schemeClr>
            </w14:solidFill>
          </w14:textFill>
        </w:rPr>
        <w:t>坚持跳出云城看云城、谋云城，以更大魄力在更高起点上推进改革开放，坚持摸着石头过河和落实顶层设计相结合，加强治理体系和治理能力现代化建设，破除制约高质量发展、高品质生活的体制机制障碍，强化有利于提高资源配置效率、有利于调动全社会积极性的重大改革开放举措，持续增强发展动力和活力。</w:t>
      </w:r>
    </w:p>
    <w:p w14:paraId="7EE63FDE">
      <w:pPr>
        <w:pStyle w:val="39"/>
        <w:adjustRightInd w:val="0"/>
        <w:spacing w:line="600" w:lineRule="exact"/>
        <w:ind w:firstLine="643" w:firstLineChars="200"/>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b/>
          <w:bCs/>
          <w:color w:val="0D0D0D" w:themeColor="text1" w:themeTint="F2"/>
          <w14:textFill>
            <w14:solidFill>
              <w14:schemeClr w14:val="tx1">
                <w14:lumMod w14:val="95000"/>
                <w14:lumOff w14:val="5000"/>
              </w14:schemeClr>
            </w14:solidFill>
          </w14:textFill>
        </w:rPr>
        <w:t>坚持系统观念。</w:t>
      </w:r>
      <w:r>
        <w:rPr>
          <w:rFonts w:hint="eastAsia" w:ascii="宋体" w:hAnsi="宋体"/>
          <w:color w:val="0D0D0D" w:themeColor="text1" w:themeTint="F2"/>
          <w14:textFill>
            <w14:solidFill>
              <w14:schemeClr w14:val="tx1">
                <w14:lumMod w14:val="95000"/>
                <w14:lumOff w14:val="5000"/>
              </w14:schemeClr>
            </w14:solidFill>
          </w14:textFill>
        </w:rPr>
        <w:t>坚持超前研判、超前部署、超前行动、超前预置，坚决服从服务国家发展大局，坚持全省、全市、全区一盘棋，统筹各方面力量，办好发展和安全两件大事，着力固根基、扬优势、补短板、强弱项，注重防范化解重大风险挑战，实现发展质量、结构、规模、速度、效益、安全相统一。</w:t>
      </w:r>
    </w:p>
    <w:p w14:paraId="45A946BE">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2" w:name="_Toc2210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发展目标</w:t>
      </w:r>
      <w:bookmarkEnd w:id="32"/>
    </w:p>
    <w:p w14:paraId="3AC38335">
      <w:pPr>
        <w:pStyle w:val="183"/>
        <w:widowControl w:val="0"/>
        <w:ind w:firstLine="640"/>
        <w:rPr>
          <w:rFonts w:ascii="仿宋_GB2312"/>
          <w:szCs w:val="32"/>
        </w:rPr>
      </w:pPr>
      <w:r>
        <w:rPr>
          <w:rFonts w:hint="eastAsia" w:ascii="仿宋_GB2312"/>
          <w:szCs w:val="32"/>
        </w:rPr>
        <w:t>展望二</w:t>
      </w:r>
      <w:r>
        <w:rPr>
          <w:rFonts w:hint="eastAsia" w:ascii="宋体" w:hAnsi="宋体"/>
          <w:szCs w:val="32"/>
        </w:rPr>
        <w:t>〇</w:t>
      </w:r>
      <w:r>
        <w:rPr>
          <w:rFonts w:hint="eastAsia" w:ascii="仿宋_GB2312"/>
          <w:szCs w:val="32"/>
        </w:rPr>
        <w:t>三五年，云城区将与全国全省全市同步基本实现社会主义现代化。高质量发展迈上新的台阶，经济实力、科技实力、综合竞争力明显增强，经济总量和城乡居民人均收入大幅增长，基本实现新型工业化、信息化、城镇化、农业现代化。中心城区首位度、集聚度、美誉度、认同度显著提升，城市规划建设和城市管理水平显著增强。高质量打造粤北生态建设发展新高地，充分发挥好云城生态资源优势，生态产业化、产业生态化的现代化经济体系基本建立。高质量推动乡村振兴走在全省前列，农业高质高效、乡村宜居宜业、农民富裕富足，圩镇集聚度、乡村美丽度显著提升。加快形成对外开放新格局，与粤港澳大湾区、深圳先行示范区、珠三角核心区实现全域融合发展。社会治理现代化格局基本构建完成，共建共治共享的社会治理格局总体完善，法治云城、法治政府、法治社会基本建成，基层治理实现精细化、专业化、社会化、智能化。社会文明程度达到新高度，群众思想道德、文明素养显著提高，社会主义精神文明与物质文明更加协调，建成文化强区、教育强区、人才强区，健康平安云城。人民生活更加美好，基本公共服务实现均等化，城乡区域发展差距和居民生活水平差距明显缩小，人的全面发展、全体人民共同富裕取得更为明显的实质性进展。</w:t>
      </w:r>
    </w:p>
    <w:p w14:paraId="2F42BF22">
      <w:pPr>
        <w:pStyle w:val="17"/>
        <w:adjustRightInd w:val="0"/>
        <w:snapToGrid w:val="0"/>
        <w:spacing w:after="0" w:line="600" w:lineRule="exact"/>
        <w:ind w:left="0" w:leftChars="0" w:firstLine="640"/>
        <w:rPr>
          <w:rFonts w:ascii="仿宋_GB2312" w:hAnsi="仿宋_GB2312" w:cs="仿宋_GB2312"/>
          <w:color w:val="000000"/>
          <w:szCs w:val="32"/>
        </w:rPr>
      </w:pPr>
      <w:r>
        <w:rPr>
          <w:rFonts w:hint="eastAsia" w:ascii="仿宋_GB2312" w:hAnsi="仿宋_GB2312" w:cs="仿宋_GB2312"/>
          <w:color w:val="000000"/>
          <w:szCs w:val="32"/>
        </w:rPr>
        <w:t>着眼广东新发展阶段的总定位总目标和省委赋予云浮的目标定位，综合考虑国内外发展形势和云城发展条件，坚持守正创新相统一，强化向东发展理念，加快融湾发展步伐。今后五年要努力实现以下主要目标。</w:t>
      </w:r>
    </w:p>
    <w:p w14:paraId="039DC5D2">
      <w:pPr>
        <w:spacing w:line="580" w:lineRule="exact"/>
        <w:ind w:firstLine="643" w:firstLineChars="200"/>
        <w:rPr>
          <w:rFonts w:ascii="仿宋_GB2312" w:hAnsi="仿宋_GB2312" w:cs="仿宋_GB2312"/>
          <w:color w:val="000000"/>
          <w:szCs w:val="32"/>
        </w:rPr>
      </w:pPr>
      <w:bookmarkStart w:id="33" w:name="_Hlk55382155"/>
      <w:bookmarkStart w:id="34" w:name="_Hlk55316452"/>
      <w:r>
        <w:rPr>
          <w:rFonts w:hint="eastAsia" w:ascii="仿宋_GB2312" w:hAnsi="仿宋_GB2312" w:cs="仿宋_GB2312"/>
          <w:b/>
          <w:bCs/>
          <w:color w:val="0D0D0D" w:themeColor="text1" w:themeTint="F2"/>
          <w:kern w:val="0"/>
          <w:szCs w:val="32"/>
          <w14:textFill>
            <w14:solidFill>
              <w14:schemeClr w14:val="tx1">
                <w14:lumMod w14:val="95000"/>
                <w14:lumOff w14:val="5000"/>
              </w14:schemeClr>
            </w14:solidFill>
          </w14:textFill>
        </w:rPr>
        <w:t>——</w:t>
      </w:r>
      <w:r>
        <w:rPr>
          <w:rFonts w:hint="eastAsia" w:ascii="仿宋_GB2312" w:hAnsi="仿宋_GB2312" w:cs="仿宋_GB2312"/>
          <w:b/>
          <w:color w:val="000000"/>
          <w:szCs w:val="32"/>
        </w:rPr>
        <w:t>经济发展迈上新台阶</w:t>
      </w:r>
      <w:r>
        <w:rPr>
          <w:rFonts w:hint="eastAsia" w:ascii="仿宋_GB2312" w:hAnsi="仿宋_GB2312" w:cs="仿宋_GB2312"/>
          <w:color w:val="000000"/>
          <w:szCs w:val="32"/>
        </w:rPr>
        <w:t>。以发展为第一要务，凝心聚力促发展，培育壮大金属智造、健康医药、现代物流、现代农业、康养文旅等产业，做优做强石材产业，现代化产业体系基本形成，经济结构进一步优化，GDP增速快于全省、全市平均水平。</w:t>
      </w:r>
    </w:p>
    <w:bookmarkEnd w:id="33"/>
    <w:p w14:paraId="4A246A02">
      <w:pPr>
        <w:spacing w:line="580" w:lineRule="exact"/>
        <w:ind w:firstLine="643" w:firstLineChars="200"/>
        <w:rPr>
          <w:rFonts w:ascii="仿宋_GB2312" w:hAnsi="仿宋_GB2312" w:cs="仿宋_GB2312"/>
          <w:color w:val="000000"/>
          <w:szCs w:val="32"/>
        </w:rPr>
      </w:pPr>
      <w:r>
        <w:rPr>
          <w:rFonts w:hint="eastAsia" w:ascii="仿宋_GB2312" w:hAnsi="仿宋_GB2312" w:cs="仿宋_GB2312"/>
          <w:b/>
          <w:bCs/>
          <w:color w:val="0D0D0D" w:themeColor="text1" w:themeTint="F2"/>
          <w:szCs w:val="32"/>
          <w14:textFill>
            <w14:solidFill>
              <w14:schemeClr w14:val="tx1">
                <w14:lumMod w14:val="95000"/>
                <w14:lumOff w14:val="5000"/>
              </w14:schemeClr>
            </w14:solidFill>
          </w14:textFill>
        </w:rPr>
        <w:t>——</w:t>
      </w:r>
      <w:r>
        <w:rPr>
          <w:rFonts w:hint="eastAsia" w:ascii="仿宋_GB2312" w:hAnsi="仿宋_GB2312" w:cs="仿宋_GB2312"/>
          <w:b/>
          <w:color w:val="000000"/>
          <w:szCs w:val="32"/>
        </w:rPr>
        <w:t>科技创新实现新突破</w:t>
      </w:r>
      <w:r>
        <w:rPr>
          <w:rFonts w:hint="eastAsia" w:ascii="仿宋_GB2312" w:hAnsi="仿宋_GB2312" w:cs="仿宋_GB2312"/>
          <w:color w:val="000000"/>
          <w:szCs w:val="32"/>
        </w:rPr>
        <w:t>。重点领域和关键环节改革取得突破性进展，基本形成以创新为主要引领和支撑的经济体系和发展模式，与“三区”协同创新机制更加健全，地区竞争力明显提升。到2025年，力争全区高新技术企业达到26家，R&amp;D 经费投入稳步增长。</w:t>
      </w:r>
    </w:p>
    <w:p w14:paraId="1FAD8BB2">
      <w:pPr>
        <w:spacing w:line="5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b/>
          <w:color w:val="000000"/>
          <w:szCs w:val="32"/>
        </w:rPr>
        <w:t>生态环境得到新改善</w:t>
      </w:r>
      <w:r>
        <w:rPr>
          <w:rFonts w:hint="eastAsia" w:ascii="仿宋_GB2312" w:hAnsi="仿宋_GB2312" w:cs="仿宋_GB2312"/>
          <w:color w:val="000000"/>
          <w:szCs w:val="32"/>
        </w:rPr>
        <w:t>。全面推动“生态产业化、产业生态化”，严格落实国土空间开发保护，河流整治、大气污染防治、固体废物防治、垃圾分类处理等取得积极成效，全面完成上级下达能源“双控”任务。创建国家森林城市，天蓝、地绿、水清环境得到进一步提升。</w:t>
      </w:r>
    </w:p>
    <w:p w14:paraId="1F6B9797">
      <w:pPr>
        <w:spacing w:line="5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b/>
          <w:color w:val="000000"/>
          <w:szCs w:val="32"/>
        </w:rPr>
        <w:t>乡村振兴实现新跨越</w:t>
      </w:r>
      <w:r>
        <w:rPr>
          <w:rFonts w:hint="eastAsia" w:ascii="仿宋_GB2312" w:hAnsi="仿宋_GB2312" w:cs="仿宋_GB2312"/>
          <w:color w:val="000000"/>
          <w:szCs w:val="32"/>
        </w:rPr>
        <w:t>。现代特色农业发展水平显著提高，农业科技水平及产业化水平全面提升，全域建成生态宜居美丽乡村，农民素质和收入进一步提高，圩镇集聚度、乡村美丽度显著提升，农业农村现代化走在全市前列。</w:t>
      </w:r>
    </w:p>
    <w:p w14:paraId="21D55A28">
      <w:pPr>
        <w:spacing w:line="580" w:lineRule="exact"/>
        <w:ind w:firstLine="640" w:firstLineChars="200"/>
        <w:rPr>
          <w:rFonts w:ascii="仿宋_GB2312" w:hAnsi="仿宋_GB2312" w:cs="仿宋_GB2312"/>
          <w:color w:val="000000"/>
          <w:szCs w:val="32"/>
        </w:rPr>
      </w:pPr>
      <w:r>
        <w:rPr>
          <w:rFonts w:hint="eastAsia" w:ascii="仿宋_GB2312" w:hAnsi="仿宋_GB2312" w:cs="仿宋_GB2312"/>
          <w:szCs w:val="32"/>
        </w:rPr>
        <w:t>——</w:t>
      </w:r>
      <w:r>
        <w:rPr>
          <w:rFonts w:hint="eastAsia" w:ascii="仿宋_GB2312" w:hAnsi="仿宋_GB2312" w:cs="仿宋_GB2312"/>
          <w:b/>
          <w:color w:val="000000"/>
          <w:szCs w:val="32"/>
        </w:rPr>
        <w:t>城市品质实现新提升</w:t>
      </w:r>
      <w:r>
        <w:rPr>
          <w:rFonts w:hint="eastAsia" w:ascii="仿宋_GB2312" w:hAnsi="仿宋_GB2312" w:cs="仿宋_GB2312"/>
          <w:color w:val="000000"/>
          <w:szCs w:val="32"/>
        </w:rPr>
        <w:t>。中心城区首位度明显提升，城市更新改造、新型城镇化建设深入推进，基础设施建设更加完善，城市管理更加科学化精细化职能化，城市环境品质、首位度、美誉度大幅提升。精准对接“三区”市场需求，全力畅通产业循环、市场循环、经济社会循环，基本打造成为市域消费中心。</w:t>
      </w:r>
    </w:p>
    <w:p w14:paraId="39DE3CB4">
      <w:pPr>
        <w:ind w:firstLine="640"/>
        <w:rPr>
          <w:rFonts w:ascii="仿宋_GB2312" w:hAnsi="仿宋_GB2312" w:cs="仿宋_GB2312"/>
          <w:szCs w:val="32"/>
        </w:rPr>
      </w:pPr>
      <w:r>
        <w:rPr>
          <w:rFonts w:hint="eastAsia" w:ascii="仿宋_GB2312" w:hAnsi="仿宋_GB2312" w:cs="仿宋_GB2312"/>
          <w:color w:val="000000"/>
          <w:szCs w:val="32"/>
        </w:rPr>
        <w:t>——</w:t>
      </w:r>
      <w:r>
        <w:rPr>
          <w:rFonts w:hint="eastAsia" w:ascii="仿宋_GB2312" w:hAnsi="仿宋_GB2312" w:cs="仿宋_GB2312"/>
          <w:b/>
          <w:color w:val="000000"/>
          <w:szCs w:val="32"/>
        </w:rPr>
        <w:t>民生保障取得新进步。</w:t>
      </w:r>
      <w:r>
        <w:rPr>
          <w:rFonts w:hint="eastAsia" w:ascii="仿宋_GB2312" w:hAnsi="仿宋_GB2312" w:cs="仿宋_GB2312"/>
          <w:color w:val="000000"/>
          <w:szCs w:val="32"/>
        </w:rPr>
        <w:t>居民人均可支配收入增长与经济增长保持同步，城乡居民可支配收入达到3万元以上。基本公共服务均等化成效凸显，发展的平衡性、协调性、可持续性明显增强，社会公平正义更加彰显。就业、教育、文化、医疗、社会保障等公共服务体系更加完善。</w:t>
      </w:r>
    </w:p>
    <w:p w14:paraId="5BA80B61">
      <w:pPr>
        <w:spacing w:line="580" w:lineRule="exact"/>
        <w:ind w:firstLine="640" w:firstLineChars="200"/>
        <w:rPr>
          <w:rFonts w:ascii="仿宋_GB2312" w:hAnsi="仿宋_GB2312" w:cs="仿宋_GB2312"/>
          <w:color w:val="000000"/>
          <w:szCs w:val="32"/>
        </w:rPr>
      </w:pPr>
      <w:r>
        <w:rPr>
          <w:rFonts w:hint="eastAsia" w:ascii="仿宋_GB2312" w:hAnsi="仿宋_GB2312" w:cs="仿宋_GB2312"/>
          <w:szCs w:val="32"/>
        </w:rPr>
        <w:t>——</w:t>
      </w:r>
      <w:r>
        <w:rPr>
          <w:rFonts w:hint="eastAsia" w:ascii="仿宋_GB2312" w:hAnsi="仿宋_GB2312" w:cs="仿宋_GB2312"/>
          <w:b/>
          <w:color w:val="000000"/>
          <w:szCs w:val="32"/>
        </w:rPr>
        <w:t>社会治理达到新水平</w:t>
      </w:r>
      <w:r>
        <w:rPr>
          <w:rFonts w:hint="eastAsia" w:ascii="仿宋_GB2312" w:hAnsi="仿宋_GB2312" w:cs="仿宋_GB2312"/>
          <w:color w:val="000000"/>
          <w:szCs w:val="32"/>
        </w:rPr>
        <w:t>。社会治理体系和治理能力现代化初步实现，安全管理水平和应急管理能力不断提升，共建共治共享的社会治理格局基本形成，法治云城、平安云城建设达到更高水平。</w:t>
      </w:r>
    </w:p>
    <w:bookmarkEnd w:id="34"/>
    <w:p w14:paraId="09D792E8">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具体指标表如下：</w:t>
      </w:r>
    </w:p>
    <w:p w14:paraId="5E6FEDB0">
      <w:pPr>
        <w:pStyle w:val="17"/>
        <w:adjustRightInd w:val="0"/>
        <w:snapToGrid w:val="0"/>
        <w:spacing w:after="0" w:line="600" w:lineRule="exact"/>
        <w:ind w:left="0" w:leftChars="0" w:firstLine="562"/>
        <w:jc w:val="center"/>
        <w:rPr>
          <w:rFonts w:ascii="宋体" w:hAnsi="宋体" w:cs="宋体"/>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表2</w:t>
      </w:r>
      <w:r>
        <w:rPr>
          <w:rFonts w:hint="eastAsia" w:ascii="宋体" w:hAnsi="宋体" w:cs="宋体"/>
          <w:b/>
          <w:bCs/>
          <w:color w:val="0D0D0D" w:themeColor="text1" w:themeTint="F2"/>
          <w:kern w:val="0"/>
          <w:sz w:val="28"/>
          <w:szCs w:val="28"/>
          <w14:textFill>
            <w14:solidFill>
              <w14:schemeClr w14:val="tx1">
                <w14:lumMod w14:val="95000"/>
                <w14:lumOff w14:val="5000"/>
              </w14:schemeClr>
            </w14:solidFill>
          </w14:textFill>
        </w:rPr>
        <w:t>云城区“十四五”规划指标体系</w:t>
      </w:r>
    </w:p>
    <w:tbl>
      <w:tblPr>
        <w:tblStyle w:val="18"/>
        <w:tblpPr w:leftFromText="180" w:rightFromText="180" w:vertAnchor="text" w:tblpXSpec="center" w:tblpY="1"/>
        <w:tblOverlap w:val="never"/>
        <w:tblW w:w="10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823"/>
        <w:gridCol w:w="1134"/>
        <w:gridCol w:w="993"/>
        <w:gridCol w:w="1275"/>
        <w:gridCol w:w="993"/>
        <w:gridCol w:w="1101"/>
      </w:tblGrid>
      <w:tr w14:paraId="0A16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14:paraId="69A991B2">
            <w:pPr>
              <w:jc w:val="center"/>
              <w:rPr>
                <w:sz w:val="20"/>
                <w:szCs w:val="20"/>
              </w:rPr>
            </w:pPr>
            <w:r>
              <w:rPr>
                <w:rFonts w:hint="eastAsia"/>
                <w:sz w:val="20"/>
                <w:szCs w:val="20"/>
              </w:rPr>
              <w:t>序号</w:t>
            </w:r>
          </w:p>
        </w:tc>
        <w:tc>
          <w:tcPr>
            <w:tcW w:w="3823" w:type="dxa"/>
            <w:vAlign w:val="center"/>
          </w:tcPr>
          <w:p w14:paraId="175B2956">
            <w:pPr>
              <w:jc w:val="center"/>
              <w:rPr>
                <w:sz w:val="20"/>
                <w:szCs w:val="20"/>
              </w:rPr>
            </w:pPr>
            <w:r>
              <w:rPr>
                <w:rFonts w:hint="eastAsia"/>
                <w:sz w:val="20"/>
                <w:szCs w:val="20"/>
              </w:rPr>
              <w:t>具体指标</w:t>
            </w:r>
          </w:p>
        </w:tc>
        <w:tc>
          <w:tcPr>
            <w:tcW w:w="1134" w:type="dxa"/>
            <w:vAlign w:val="center"/>
          </w:tcPr>
          <w:p w14:paraId="76E8AC50">
            <w:pPr>
              <w:jc w:val="center"/>
              <w:rPr>
                <w:rFonts w:ascii="仿宋_GB2312"/>
                <w:sz w:val="20"/>
                <w:szCs w:val="20"/>
              </w:rPr>
            </w:pPr>
            <w:r>
              <w:rPr>
                <w:rFonts w:hint="eastAsia" w:ascii="仿宋_GB2312"/>
                <w:sz w:val="20"/>
                <w:szCs w:val="20"/>
              </w:rPr>
              <w:t>2020年</w:t>
            </w:r>
          </w:p>
        </w:tc>
        <w:tc>
          <w:tcPr>
            <w:tcW w:w="993" w:type="dxa"/>
            <w:vAlign w:val="center"/>
          </w:tcPr>
          <w:p w14:paraId="4E9FA0AC">
            <w:pPr>
              <w:jc w:val="center"/>
              <w:rPr>
                <w:rFonts w:ascii="仿宋_GB2312"/>
                <w:sz w:val="20"/>
                <w:szCs w:val="20"/>
              </w:rPr>
            </w:pPr>
            <w:r>
              <w:rPr>
                <w:rFonts w:hint="eastAsia" w:ascii="仿宋_GB2312"/>
                <w:sz w:val="20"/>
                <w:szCs w:val="20"/>
              </w:rPr>
              <w:t>2025年</w:t>
            </w:r>
          </w:p>
        </w:tc>
        <w:tc>
          <w:tcPr>
            <w:tcW w:w="1275" w:type="dxa"/>
          </w:tcPr>
          <w:p w14:paraId="755712BD">
            <w:pPr>
              <w:adjustRightInd w:val="0"/>
              <w:snapToGrid w:val="0"/>
              <w:jc w:val="center"/>
              <w:rPr>
                <w:rFonts w:ascii="宋体" w:hAnsi="宋体" w:cs="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“十四五”年均增速</w:t>
            </w:r>
            <w:r>
              <w:rPr>
                <w:rFonts w:ascii="宋体" w:hAnsi="宋体" w:cs="宋体"/>
                <w:color w:val="0D0D0D" w:themeColor="text1" w:themeTint="F2"/>
                <w:kern w:val="0"/>
                <w:sz w:val="20"/>
                <w:szCs w:val="20"/>
                <w14:textFill>
                  <w14:solidFill>
                    <w14:schemeClr w14:val="tx1">
                      <w14:lumMod w14:val="95000"/>
                      <w14:lumOff w14:val="5000"/>
                    </w14:schemeClr>
                  </w14:solidFill>
                </w14:textFill>
              </w:rPr>
              <w:t>[累计]</w:t>
            </w:r>
          </w:p>
        </w:tc>
        <w:tc>
          <w:tcPr>
            <w:tcW w:w="993" w:type="dxa"/>
            <w:vAlign w:val="center"/>
          </w:tcPr>
          <w:p w14:paraId="2977814D">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指标</w:t>
            </w:r>
          </w:p>
          <w:p w14:paraId="600A61A0">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属性</w:t>
            </w:r>
          </w:p>
        </w:tc>
        <w:tc>
          <w:tcPr>
            <w:tcW w:w="1101" w:type="dxa"/>
            <w:vAlign w:val="center"/>
          </w:tcPr>
          <w:p w14:paraId="1A9CC1DA">
            <w:pPr>
              <w:jc w:val="center"/>
              <w:rPr>
                <w:sz w:val="20"/>
                <w:szCs w:val="20"/>
              </w:rPr>
            </w:pPr>
            <w:r>
              <w:rPr>
                <w:rFonts w:hint="eastAsia"/>
                <w:sz w:val="20"/>
                <w:szCs w:val="20"/>
              </w:rPr>
              <w:t>备注</w:t>
            </w:r>
          </w:p>
        </w:tc>
      </w:tr>
      <w:tr w14:paraId="4D14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0027" w:type="dxa"/>
            <w:gridSpan w:val="7"/>
          </w:tcPr>
          <w:p w14:paraId="011B5876">
            <w:pPr>
              <w:rPr>
                <w:b/>
                <w:sz w:val="20"/>
                <w:szCs w:val="20"/>
              </w:rPr>
            </w:pPr>
            <w:r>
              <w:rPr>
                <w:rFonts w:hint="eastAsia"/>
                <w:b/>
                <w:sz w:val="20"/>
                <w:szCs w:val="20"/>
              </w:rPr>
              <w:t>一、经济发展</w:t>
            </w:r>
          </w:p>
        </w:tc>
      </w:tr>
      <w:tr w14:paraId="0CB4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05D66A4D">
            <w:pPr>
              <w:jc w:val="center"/>
              <w:rPr>
                <w:sz w:val="20"/>
                <w:szCs w:val="20"/>
              </w:rPr>
            </w:pPr>
            <w:r>
              <w:rPr>
                <w:sz w:val="20"/>
                <w:szCs w:val="20"/>
              </w:rPr>
              <w:t>1</w:t>
            </w:r>
          </w:p>
        </w:tc>
        <w:tc>
          <w:tcPr>
            <w:tcW w:w="3823" w:type="dxa"/>
            <w:vAlign w:val="center"/>
          </w:tcPr>
          <w:p w14:paraId="1FA8BBFB">
            <w:pPr>
              <w:rPr>
                <w:sz w:val="20"/>
                <w:szCs w:val="20"/>
              </w:rPr>
            </w:pPr>
            <w:r>
              <w:rPr>
                <w:sz w:val="20"/>
                <w:szCs w:val="20"/>
              </w:rPr>
              <w:t>GDP</w:t>
            </w:r>
            <w:r>
              <w:rPr>
                <w:rFonts w:hint="eastAsia"/>
                <w:sz w:val="20"/>
                <w:szCs w:val="20"/>
              </w:rPr>
              <w:t>（亿元）</w:t>
            </w:r>
          </w:p>
        </w:tc>
        <w:tc>
          <w:tcPr>
            <w:tcW w:w="1134" w:type="dxa"/>
          </w:tcPr>
          <w:p w14:paraId="3A787A51">
            <w:pPr>
              <w:jc w:val="center"/>
              <w:rPr>
                <w:rFonts w:ascii="宋体" w:hAnsi="宋体" w:eastAsia="宋体"/>
                <w:sz w:val="20"/>
                <w:szCs w:val="20"/>
              </w:rPr>
            </w:pPr>
            <w:r>
              <w:rPr>
                <w:rFonts w:hint="eastAsia" w:ascii="宋体" w:hAnsi="宋体" w:eastAsia="宋体"/>
                <w:sz w:val="20"/>
                <w:szCs w:val="20"/>
              </w:rPr>
              <w:t>219.19</w:t>
            </w:r>
          </w:p>
        </w:tc>
        <w:tc>
          <w:tcPr>
            <w:tcW w:w="993" w:type="dxa"/>
          </w:tcPr>
          <w:p w14:paraId="3BC96AD5">
            <w:pPr>
              <w:jc w:val="center"/>
              <w:rPr>
                <w:rFonts w:ascii="宋体" w:hAnsi="宋体" w:eastAsia="宋体"/>
                <w:sz w:val="20"/>
                <w:szCs w:val="20"/>
              </w:rPr>
            </w:pPr>
            <w:r>
              <w:rPr>
                <w:rFonts w:hint="eastAsia" w:ascii="宋体" w:hAnsi="宋体" w:eastAsia="宋体"/>
                <w:sz w:val="20"/>
                <w:szCs w:val="20"/>
              </w:rPr>
              <w:t>-</w:t>
            </w:r>
          </w:p>
        </w:tc>
        <w:tc>
          <w:tcPr>
            <w:tcW w:w="1275" w:type="dxa"/>
          </w:tcPr>
          <w:p w14:paraId="2A7E7816">
            <w:pPr>
              <w:jc w:val="center"/>
              <w:rPr>
                <w:rFonts w:ascii="宋体" w:hAnsi="宋体" w:eastAsia="宋体"/>
                <w:sz w:val="20"/>
                <w:szCs w:val="20"/>
              </w:rPr>
            </w:pPr>
            <w:r>
              <w:rPr>
                <w:rFonts w:hint="eastAsia" w:ascii="宋体" w:hAnsi="宋体" w:eastAsia="宋体"/>
                <w:sz w:val="20"/>
                <w:szCs w:val="20"/>
              </w:rPr>
              <w:t>7.5%</w:t>
            </w:r>
            <w:r>
              <w:rPr>
                <w:rFonts w:hint="eastAsia" w:ascii="仿宋_GB2312" w:hAnsi="宋体"/>
                <w:sz w:val="20"/>
                <w:szCs w:val="20"/>
              </w:rPr>
              <w:t>左右</w:t>
            </w:r>
          </w:p>
        </w:tc>
        <w:tc>
          <w:tcPr>
            <w:tcW w:w="993" w:type="dxa"/>
            <w:vAlign w:val="center"/>
          </w:tcPr>
          <w:p w14:paraId="0DFC89CB">
            <w:pPr>
              <w:jc w:val="center"/>
              <w:rPr>
                <w:sz w:val="20"/>
                <w:szCs w:val="20"/>
              </w:rPr>
            </w:pPr>
            <w:r>
              <w:rPr>
                <w:rFonts w:hint="eastAsia"/>
                <w:sz w:val="20"/>
                <w:szCs w:val="20"/>
              </w:rPr>
              <w:t>预期性</w:t>
            </w:r>
          </w:p>
        </w:tc>
        <w:tc>
          <w:tcPr>
            <w:tcW w:w="1101" w:type="dxa"/>
            <w:vAlign w:val="center"/>
          </w:tcPr>
          <w:p w14:paraId="0F5D12C6">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5E78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exact"/>
        </w:trPr>
        <w:tc>
          <w:tcPr>
            <w:tcW w:w="708" w:type="dxa"/>
            <w:vAlign w:val="center"/>
          </w:tcPr>
          <w:p w14:paraId="1E6DB0F7">
            <w:pPr>
              <w:jc w:val="center"/>
              <w:rPr>
                <w:sz w:val="20"/>
                <w:szCs w:val="20"/>
              </w:rPr>
            </w:pPr>
            <w:r>
              <w:rPr>
                <w:sz w:val="20"/>
                <w:szCs w:val="20"/>
              </w:rPr>
              <w:t>2</w:t>
            </w:r>
          </w:p>
        </w:tc>
        <w:tc>
          <w:tcPr>
            <w:tcW w:w="3823" w:type="dxa"/>
            <w:vAlign w:val="center"/>
          </w:tcPr>
          <w:p w14:paraId="488EF002">
            <w:pPr>
              <w:rPr>
                <w:sz w:val="20"/>
                <w:szCs w:val="20"/>
              </w:rPr>
            </w:pPr>
            <w:r>
              <w:rPr>
                <w:rFonts w:hint="eastAsia"/>
                <w:sz w:val="20"/>
                <w:szCs w:val="20"/>
              </w:rPr>
              <w:t>全员劳动生产率（万元</w:t>
            </w:r>
            <w:r>
              <w:rPr>
                <w:sz w:val="20"/>
                <w:szCs w:val="20"/>
              </w:rPr>
              <w:t>/人）</w:t>
            </w:r>
          </w:p>
        </w:tc>
        <w:tc>
          <w:tcPr>
            <w:tcW w:w="1134" w:type="dxa"/>
          </w:tcPr>
          <w:p w14:paraId="7CCDCC0A">
            <w:pPr>
              <w:jc w:val="center"/>
              <w:rPr>
                <w:rFonts w:ascii="宋体" w:hAnsi="宋体" w:eastAsia="宋体"/>
                <w:sz w:val="20"/>
                <w:szCs w:val="20"/>
              </w:rPr>
            </w:pPr>
            <w:r>
              <w:rPr>
                <w:rFonts w:hint="eastAsia" w:ascii="宋体" w:hAnsi="宋体" w:eastAsia="宋体"/>
                <w:sz w:val="20"/>
                <w:szCs w:val="20"/>
              </w:rPr>
              <w:t>11</w:t>
            </w:r>
          </w:p>
          <w:p w14:paraId="0F7AA683">
            <w:pPr>
              <w:jc w:val="center"/>
              <w:rPr>
                <w:rFonts w:ascii="宋体" w:hAnsi="宋体" w:eastAsia="宋体"/>
                <w:sz w:val="20"/>
                <w:szCs w:val="20"/>
              </w:rPr>
            </w:pPr>
            <w:r>
              <w:rPr>
                <w:rFonts w:hint="eastAsia" w:ascii="宋体" w:hAnsi="宋体" w:eastAsia="宋体"/>
                <w:sz w:val="20"/>
                <w:szCs w:val="20"/>
              </w:rPr>
              <w:t>(预计数)</w:t>
            </w:r>
          </w:p>
        </w:tc>
        <w:tc>
          <w:tcPr>
            <w:tcW w:w="993" w:type="dxa"/>
          </w:tcPr>
          <w:p w14:paraId="3B3ADE94">
            <w:pPr>
              <w:jc w:val="center"/>
              <w:rPr>
                <w:rFonts w:ascii="宋体" w:hAnsi="宋体" w:eastAsia="宋体"/>
                <w:sz w:val="20"/>
                <w:szCs w:val="20"/>
              </w:rPr>
            </w:pPr>
            <w:r>
              <w:rPr>
                <w:rFonts w:hint="eastAsia" w:ascii="宋体" w:hAnsi="宋体" w:eastAsia="宋体"/>
                <w:sz w:val="20"/>
                <w:szCs w:val="20"/>
              </w:rPr>
              <w:t>11%</w:t>
            </w:r>
            <w:r>
              <w:rPr>
                <w:rFonts w:hint="eastAsia" w:ascii="仿宋_GB2312" w:hAnsi="宋体"/>
                <w:sz w:val="20"/>
                <w:szCs w:val="20"/>
              </w:rPr>
              <w:t>以上</w:t>
            </w:r>
          </w:p>
        </w:tc>
        <w:tc>
          <w:tcPr>
            <w:tcW w:w="1275" w:type="dxa"/>
          </w:tcPr>
          <w:p w14:paraId="51091474">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14:paraId="7C5BA143">
            <w:pPr>
              <w:jc w:val="center"/>
              <w:rPr>
                <w:sz w:val="20"/>
                <w:szCs w:val="20"/>
              </w:rPr>
            </w:pPr>
            <w:r>
              <w:rPr>
                <w:rFonts w:hint="eastAsia"/>
                <w:sz w:val="20"/>
                <w:szCs w:val="20"/>
              </w:rPr>
              <w:t>预期性</w:t>
            </w:r>
          </w:p>
        </w:tc>
        <w:tc>
          <w:tcPr>
            <w:tcW w:w="1101" w:type="dxa"/>
            <w:vAlign w:val="center"/>
          </w:tcPr>
          <w:p w14:paraId="3A9BB951">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4762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6637F89D">
            <w:pPr>
              <w:jc w:val="center"/>
              <w:rPr>
                <w:sz w:val="20"/>
                <w:szCs w:val="20"/>
              </w:rPr>
            </w:pPr>
            <w:r>
              <w:rPr>
                <w:sz w:val="20"/>
                <w:szCs w:val="20"/>
              </w:rPr>
              <w:t>3</w:t>
            </w:r>
          </w:p>
        </w:tc>
        <w:tc>
          <w:tcPr>
            <w:tcW w:w="3823" w:type="dxa"/>
            <w:vAlign w:val="center"/>
          </w:tcPr>
          <w:p w14:paraId="6B04265C">
            <w:pPr>
              <w:rPr>
                <w:sz w:val="20"/>
                <w:szCs w:val="20"/>
              </w:rPr>
            </w:pPr>
            <w:r>
              <w:rPr>
                <w:rFonts w:hint="eastAsia"/>
                <w:sz w:val="20"/>
                <w:szCs w:val="20"/>
              </w:rPr>
              <w:t>规模以上工业增加值（%）</w:t>
            </w:r>
          </w:p>
        </w:tc>
        <w:tc>
          <w:tcPr>
            <w:tcW w:w="1134" w:type="dxa"/>
          </w:tcPr>
          <w:p w14:paraId="1A4D5F8C">
            <w:pPr>
              <w:jc w:val="center"/>
              <w:rPr>
                <w:rFonts w:ascii="宋体" w:hAnsi="宋体" w:eastAsia="宋体"/>
                <w:sz w:val="20"/>
                <w:szCs w:val="20"/>
              </w:rPr>
            </w:pPr>
            <w:r>
              <w:rPr>
                <w:rFonts w:hint="eastAsia" w:ascii="宋体" w:hAnsi="宋体" w:eastAsia="宋体"/>
                <w:sz w:val="20"/>
                <w:szCs w:val="20"/>
              </w:rPr>
              <w:t>-4.5</w:t>
            </w:r>
          </w:p>
        </w:tc>
        <w:tc>
          <w:tcPr>
            <w:tcW w:w="993" w:type="dxa"/>
          </w:tcPr>
          <w:p w14:paraId="33F6808B">
            <w:pPr>
              <w:jc w:val="center"/>
              <w:rPr>
                <w:rFonts w:ascii="宋体" w:hAnsi="宋体" w:eastAsia="宋体"/>
                <w:sz w:val="20"/>
                <w:szCs w:val="20"/>
              </w:rPr>
            </w:pPr>
            <w:r>
              <w:rPr>
                <w:rFonts w:hint="eastAsia" w:ascii="宋体" w:hAnsi="宋体" w:eastAsia="宋体"/>
                <w:sz w:val="20"/>
                <w:szCs w:val="20"/>
              </w:rPr>
              <w:t>-</w:t>
            </w:r>
          </w:p>
        </w:tc>
        <w:tc>
          <w:tcPr>
            <w:tcW w:w="1275" w:type="dxa"/>
          </w:tcPr>
          <w:p w14:paraId="2A04B73E">
            <w:pPr>
              <w:jc w:val="center"/>
              <w:rPr>
                <w:rFonts w:ascii="宋体" w:hAnsi="宋体" w:eastAsia="宋体"/>
                <w:sz w:val="20"/>
                <w:szCs w:val="20"/>
              </w:rPr>
            </w:pPr>
            <w:r>
              <w:rPr>
                <w:rFonts w:hint="eastAsia" w:ascii="宋体" w:hAnsi="宋体" w:eastAsia="宋体"/>
                <w:sz w:val="20"/>
                <w:szCs w:val="20"/>
              </w:rPr>
              <w:t>10%</w:t>
            </w:r>
            <w:r>
              <w:rPr>
                <w:rFonts w:hint="eastAsia" w:ascii="仿宋_GB2312" w:hAnsi="宋体"/>
                <w:sz w:val="20"/>
                <w:szCs w:val="20"/>
              </w:rPr>
              <w:t>左右</w:t>
            </w:r>
          </w:p>
        </w:tc>
        <w:tc>
          <w:tcPr>
            <w:tcW w:w="993" w:type="dxa"/>
            <w:vAlign w:val="center"/>
          </w:tcPr>
          <w:p w14:paraId="34DE544D">
            <w:pPr>
              <w:jc w:val="center"/>
              <w:rPr>
                <w:sz w:val="20"/>
                <w:szCs w:val="20"/>
              </w:rPr>
            </w:pPr>
            <w:r>
              <w:rPr>
                <w:rFonts w:hint="eastAsia"/>
                <w:sz w:val="20"/>
                <w:szCs w:val="20"/>
              </w:rPr>
              <w:t>预期性</w:t>
            </w:r>
          </w:p>
        </w:tc>
        <w:tc>
          <w:tcPr>
            <w:tcW w:w="1101" w:type="dxa"/>
            <w:vAlign w:val="center"/>
          </w:tcPr>
          <w:p w14:paraId="74E84900">
            <w:pPr>
              <w:adjustRightInd w:val="0"/>
              <w:snapToGrid w:val="0"/>
              <w:spacing w:line="600" w:lineRule="exact"/>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491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07ABE610">
            <w:pPr>
              <w:jc w:val="center"/>
              <w:rPr>
                <w:sz w:val="20"/>
                <w:szCs w:val="20"/>
              </w:rPr>
            </w:pPr>
            <w:r>
              <w:rPr>
                <w:rFonts w:hint="eastAsia"/>
                <w:sz w:val="20"/>
                <w:szCs w:val="20"/>
              </w:rPr>
              <w:t>4</w:t>
            </w:r>
          </w:p>
        </w:tc>
        <w:tc>
          <w:tcPr>
            <w:tcW w:w="3823" w:type="dxa"/>
            <w:vAlign w:val="center"/>
          </w:tcPr>
          <w:p w14:paraId="0A8FA17D">
            <w:pPr>
              <w:rPr>
                <w:sz w:val="20"/>
                <w:szCs w:val="20"/>
              </w:rPr>
            </w:pPr>
            <w:r>
              <w:rPr>
                <w:rFonts w:hint="eastAsia"/>
                <w:sz w:val="20"/>
                <w:szCs w:val="20"/>
              </w:rPr>
              <w:t>地方一般公共预算收入（亿元）</w:t>
            </w:r>
          </w:p>
        </w:tc>
        <w:tc>
          <w:tcPr>
            <w:tcW w:w="1134" w:type="dxa"/>
          </w:tcPr>
          <w:p w14:paraId="483565CC">
            <w:pPr>
              <w:jc w:val="center"/>
              <w:rPr>
                <w:rFonts w:ascii="宋体" w:hAnsi="宋体" w:eastAsia="宋体"/>
                <w:sz w:val="20"/>
                <w:szCs w:val="20"/>
              </w:rPr>
            </w:pPr>
            <w:r>
              <w:rPr>
                <w:rFonts w:hint="eastAsia" w:ascii="宋体" w:hAnsi="宋体" w:eastAsia="宋体"/>
                <w:sz w:val="20"/>
                <w:szCs w:val="20"/>
              </w:rPr>
              <w:t>5.08</w:t>
            </w:r>
          </w:p>
        </w:tc>
        <w:tc>
          <w:tcPr>
            <w:tcW w:w="993" w:type="dxa"/>
          </w:tcPr>
          <w:p w14:paraId="0A52348D">
            <w:pPr>
              <w:jc w:val="center"/>
              <w:rPr>
                <w:rFonts w:ascii="宋体" w:hAnsi="宋体" w:eastAsia="宋体"/>
                <w:sz w:val="20"/>
                <w:szCs w:val="20"/>
              </w:rPr>
            </w:pPr>
            <w:r>
              <w:rPr>
                <w:rFonts w:hint="eastAsia" w:ascii="宋体" w:hAnsi="宋体" w:eastAsia="宋体"/>
                <w:sz w:val="20"/>
                <w:szCs w:val="20"/>
              </w:rPr>
              <w:t>6.08</w:t>
            </w:r>
          </w:p>
        </w:tc>
        <w:tc>
          <w:tcPr>
            <w:tcW w:w="1275" w:type="dxa"/>
          </w:tcPr>
          <w:p w14:paraId="2FEBAF4D">
            <w:pPr>
              <w:jc w:val="center"/>
              <w:rPr>
                <w:rFonts w:ascii="宋体" w:hAnsi="宋体" w:eastAsia="宋体"/>
                <w:sz w:val="20"/>
                <w:szCs w:val="20"/>
              </w:rPr>
            </w:pPr>
            <w:r>
              <w:rPr>
                <w:rFonts w:hint="eastAsia" w:ascii="宋体" w:hAnsi="宋体" w:eastAsia="宋体"/>
                <w:sz w:val="20"/>
                <w:szCs w:val="20"/>
              </w:rPr>
              <w:t>6%</w:t>
            </w:r>
          </w:p>
        </w:tc>
        <w:tc>
          <w:tcPr>
            <w:tcW w:w="993" w:type="dxa"/>
            <w:vAlign w:val="center"/>
          </w:tcPr>
          <w:p w14:paraId="0512065A">
            <w:pPr>
              <w:jc w:val="center"/>
              <w:rPr>
                <w:sz w:val="20"/>
                <w:szCs w:val="20"/>
              </w:rPr>
            </w:pPr>
            <w:r>
              <w:rPr>
                <w:rFonts w:hint="eastAsia"/>
                <w:sz w:val="20"/>
                <w:szCs w:val="20"/>
              </w:rPr>
              <w:t>预期性</w:t>
            </w:r>
          </w:p>
        </w:tc>
        <w:tc>
          <w:tcPr>
            <w:tcW w:w="1101" w:type="dxa"/>
            <w:vAlign w:val="center"/>
          </w:tcPr>
          <w:p w14:paraId="7C2CF124">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1907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30BE958D">
            <w:pPr>
              <w:jc w:val="center"/>
              <w:rPr>
                <w:sz w:val="20"/>
                <w:szCs w:val="20"/>
              </w:rPr>
            </w:pPr>
            <w:r>
              <w:rPr>
                <w:rFonts w:hint="eastAsia"/>
                <w:sz w:val="20"/>
                <w:szCs w:val="20"/>
              </w:rPr>
              <w:t>5</w:t>
            </w:r>
          </w:p>
        </w:tc>
        <w:tc>
          <w:tcPr>
            <w:tcW w:w="3823" w:type="dxa"/>
            <w:vAlign w:val="center"/>
          </w:tcPr>
          <w:p w14:paraId="1427CE95">
            <w:pPr>
              <w:rPr>
                <w:sz w:val="20"/>
                <w:szCs w:val="20"/>
              </w:rPr>
            </w:pPr>
            <w:r>
              <w:rPr>
                <w:rFonts w:hint="eastAsia"/>
                <w:sz w:val="20"/>
                <w:szCs w:val="20"/>
              </w:rPr>
              <w:t>全社会固定资产投资增长率（</w:t>
            </w:r>
            <w:r>
              <w:rPr>
                <w:sz w:val="20"/>
                <w:szCs w:val="20"/>
              </w:rPr>
              <w:t>%</w:t>
            </w:r>
            <w:r>
              <w:rPr>
                <w:rFonts w:hint="eastAsia"/>
                <w:sz w:val="20"/>
                <w:szCs w:val="20"/>
              </w:rPr>
              <w:t>）</w:t>
            </w:r>
          </w:p>
        </w:tc>
        <w:tc>
          <w:tcPr>
            <w:tcW w:w="1134" w:type="dxa"/>
          </w:tcPr>
          <w:p w14:paraId="6FCD274A">
            <w:pPr>
              <w:jc w:val="center"/>
              <w:rPr>
                <w:rFonts w:ascii="宋体" w:hAnsi="宋体" w:eastAsia="宋体"/>
                <w:sz w:val="20"/>
                <w:szCs w:val="20"/>
              </w:rPr>
            </w:pPr>
            <w:r>
              <w:rPr>
                <w:rFonts w:hint="eastAsia" w:ascii="宋体" w:hAnsi="宋体" w:eastAsia="宋体"/>
                <w:sz w:val="20"/>
                <w:szCs w:val="20"/>
              </w:rPr>
              <w:t>6.5</w:t>
            </w:r>
          </w:p>
        </w:tc>
        <w:tc>
          <w:tcPr>
            <w:tcW w:w="993" w:type="dxa"/>
          </w:tcPr>
          <w:p w14:paraId="5E664CF9">
            <w:pPr>
              <w:jc w:val="center"/>
              <w:rPr>
                <w:rFonts w:ascii="宋体" w:hAnsi="宋体" w:eastAsia="宋体"/>
                <w:sz w:val="20"/>
                <w:szCs w:val="20"/>
              </w:rPr>
            </w:pPr>
            <w:r>
              <w:rPr>
                <w:rFonts w:hint="eastAsia" w:ascii="宋体" w:hAnsi="宋体" w:eastAsia="宋体"/>
                <w:sz w:val="20"/>
                <w:szCs w:val="20"/>
              </w:rPr>
              <w:t>-</w:t>
            </w:r>
          </w:p>
        </w:tc>
        <w:tc>
          <w:tcPr>
            <w:tcW w:w="1275" w:type="dxa"/>
          </w:tcPr>
          <w:p w14:paraId="4BA23B90">
            <w:pPr>
              <w:jc w:val="center"/>
              <w:rPr>
                <w:rFonts w:ascii="宋体" w:hAnsi="宋体" w:eastAsia="宋体"/>
                <w:sz w:val="20"/>
                <w:szCs w:val="20"/>
              </w:rPr>
            </w:pPr>
            <w:r>
              <w:rPr>
                <w:rFonts w:hint="eastAsia" w:ascii="宋体" w:hAnsi="宋体" w:eastAsia="宋体"/>
                <w:sz w:val="20"/>
                <w:szCs w:val="20"/>
              </w:rPr>
              <w:t>10</w:t>
            </w:r>
            <w:r>
              <w:rPr>
                <w:rFonts w:hint="eastAsia" w:ascii="仿宋_GB2312" w:hAnsi="宋体"/>
                <w:sz w:val="20"/>
                <w:szCs w:val="20"/>
              </w:rPr>
              <w:t>左右</w:t>
            </w:r>
          </w:p>
        </w:tc>
        <w:tc>
          <w:tcPr>
            <w:tcW w:w="993" w:type="dxa"/>
            <w:vAlign w:val="center"/>
          </w:tcPr>
          <w:p w14:paraId="395E85F7">
            <w:pPr>
              <w:jc w:val="center"/>
              <w:rPr>
                <w:sz w:val="20"/>
                <w:szCs w:val="20"/>
              </w:rPr>
            </w:pPr>
            <w:r>
              <w:rPr>
                <w:rFonts w:hint="eastAsia"/>
                <w:sz w:val="20"/>
                <w:szCs w:val="20"/>
              </w:rPr>
              <w:t>预期性</w:t>
            </w:r>
          </w:p>
        </w:tc>
        <w:tc>
          <w:tcPr>
            <w:tcW w:w="1101" w:type="dxa"/>
            <w:vAlign w:val="center"/>
          </w:tcPr>
          <w:p w14:paraId="6D815872">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3C5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07CA2156">
            <w:pPr>
              <w:jc w:val="center"/>
              <w:rPr>
                <w:sz w:val="20"/>
                <w:szCs w:val="20"/>
              </w:rPr>
            </w:pPr>
            <w:r>
              <w:rPr>
                <w:rFonts w:hint="eastAsia"/>
                <w:sz w:val="20"/>
                <w:szCs w:val="20"/>
              </w:rPr>
              <w:t>6</w:t>
            </w:r>
          </w:p>
        </w:tc>
        <w:tc>
          <w:tcPr>
            <w:tcW w:w="3823" w:type="dxa"/>
            <w:vAlign w:val="center"/>
          </w:tcPr>
          <w:p w14:paraId="6595E51E">
            <w:pPr>
              <w:rPr>
                <w:sz w:val="20"/>
                <w:szCs w:val="20"/>
              </w:rPr>
            </w:pPr>
            <w:r>
              <w:rPr>
                <w:rFonts w:hint="eastAsia"/>
                <w:sz w:val="20"/>
                <w:szCs w:val="20"/>
              </w:rPr>
              <w:t>社会消费品零售总额（亿元）</w:t>
            </w:r>
          </w:p>
        </w:tc>
        <w:tc>
          <w:tcPr>
            <w:tcW w:w="1134" w:type="dxa"/>
          </w:tcPr>
          <w:p w14:paraId="7E54C965">
            <w:pPr>
              <w:jc w:val="center"/>
              <w:rPr>
                <w:rFonts w:ascii="宋体" w:hAnsi="宋体" w:eastAsia="宋体"/>
                <w:sz w:val="20"/>
                <w:szCs w:val="20"/>
              </w:rPr>
            </w:pPr>
            <w:r>
              <w:rPr>
                <w:rFonts w:hint="eastAsia" w:ascii="宋体" w:hAnsi="宋体" w:eastAsia="宋体"/>
                <w:sz w:val="20"/>
                <w:szCs w:val="20"/>
              </w:rPr>
              <w:t>105.01</w:t>
            </w:r>
          </w:p>
        </w:tc>
        <w:tc>
          <w:tcPr>
            <w:tcW w:w="993" w:type="dxa"/>
          </w:tcPr>
          <w:p w14:paraId="6CA59BA2">
            <w:pPr>
              <w:jc w:val="center"/>
              <w:rPr>
                <w:rFonts w:ascii="宋体" w:hAnsi="宋体" w:eastAsia="宋体"/>
                <w:sz w:val="20"/>
                <w:szCs w:val="20"/>
              </w:rPr>
            </w:pPr>
            <w:r>
              <w:rPr>
                <w:rFonts w:hint="eastAsia" w:ascii="宋体" w:hAnsi="宋体" w:eastAsia="宋体"/>
                <w:sz w:val="20"/>
                <w:szCs w:val="20"/>
              </w:rPr>
              <w:t>157</w:t>
            </w:r>
          </w:p>
        </w:tc>
        <w:tc>
          <w:tcPr>
            <w:tcW w:w="1275" w:type="dxa"/>
          </w:tcPr>
          <w:p w14:paraId="1EA1E5DC">
            <w:pPr>
              <w:jc w:val="center"/>
              <w:rPr>
                <w:rFonts w:ascii="宋体" w:hAnsi="宋体" w:eastAsia="宋体"/>
                <w:sz w:val="20"/>
                <w:szCs w:val="20"/>
              </w:rPr>
            </w:pPr>
            <w:r>
              <w:rPr>
                <w:rFonts w:hint="eastAsia" w:ascii="宋体" w:hAnsi="宋体" w:eastAsia="宋体"/>
                <w:sz w:val="20"/>
                <w:szCs w:val="20"/>
              </w:rPr>
              <w:t>9%</w:t>
            </w:r>
            <w:r>
              <w:rPr>
                <w:rFonts w:hint="eastAsia" w:ascii="仿宋_GB2312" w:hAnsi="宋体"/>
                <w:sz w:val="20"/>
                <w:szCs w:val="20"/>
              </w:rPr>
              <w:t>左右</w:t>
            </w:r>
          </w:p>
        </w:tc>
        <w:tc>
          <w:tcPr>
            <w:tcW w:w="993" w:type="dxa"/>
            <w:vAlign w:val="center"/>
          </w:tcPr>
          <w:p w14:paraId="2440D033">
            <w:pPr>
              <w:jc w:val="center"/>
              <w:rPr>
                <w:sz w:val="20"/>
                <w:szCs w:val="20"/>
              </w:rPr>
            </w:pPr>
            <w:r>
              <w:rPr>
                <w:rFonts w:hint="eastAsia"/>
                <w:sz w:val="20"/>
                <w:szCs w:val="20"/>
              </w:rPr>
              <w:t>预期性</w:t>
            </w:r>
          </w:p>
        </w:tc>
        <w:tc>
          <w:tcPr>
            <w:tcW w:w="1101" w:type="dxa"/>
            <w:vAlign w:val="center"/>
          </w:tcPr>
          <w:p w14:paraId="00599F4D">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333C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6B472A94">
            <w:pPr>
              <w:jc w:val="center"/>
              <w:rPr>
                <w:sz w:val="20"/>
                <w:szCs w:val="20"/>
              </w:rPr>
            </w:pPr>
            <w:r>
              <w:rPr>
                <w:rFonts w:hint="eastAsia"/>
                <w:sz w:val="20"/>
                <w:szCs w:val="20"/>
              </w:rPr>
              <w:t>7</w:t>
            </w:r>
          </w:p>
        </w:tc>
        <w:tc>
          <w:tcPr>
            <w:tcW w:w="3823" w:type="dxa"/>
            <w:vAlign w:val="center"/>
          </w:tcPr>
          <w:p w14:paraId="005F1647">
            <w:pPr>
              <w:rPr>
                <w:sz w:val="20"/>
                <w:szCs w:val="20"/>
              </w:rPr>
            </w:pPr>
            <w:r>
              <w:rPr>
                <w:rFonts w:hint="eastAsia"/>
                <w:sz w:val="20"/>
                <w:szCs w:val="20"/>
              </w:rPr>
              <w:t>外贸进出口总额（亿元）</w:t>
            </w:r>
          </w:p>
        </w:tc>
        <w:tc>
          <w:tcPr>
            <w:tcW w:w="1134" w:type="dxa"/>
          </w:tcPr>
          <w:p w14:paraId="128E9C30">
            <w:pPr>
              <w:jc w:val="center"/>
              <w:rPr>
                <w:rFonts w:ascii="宋体" w:hAnsi="宋体" w:eastAsia="宋体"/>
                <w:sz w:val="20"/>
                <w:szCs w:val="20"/>
              </w:rPr>
            </w:pPr>
            <w:r>
              <w:rPr>
                <w:rFonts w:hint="eastAsia" w:ascii="宋体" w:hAnsi="宋体" w:eastAsia="宋体"/>
                <w:sz w:val="20"/>
                <w:szCs w:val="20"/>
              </w:rPr>
              <w:t>28.28</w:t>
            </w:r>
          </w:p>
        </w:tc>
        <w:tc>
          <w:tcPr>
            <w:tcW w:w="993" w:type="dxa"/>
          </w:tcPr>
          <w:p w14:paraId="25992602">
            <w:pPr>
              <w:jc w:val="center"/>
              <w:rPr>
                <w:rFonts w:ascii="宋体" w:hAnsi="宋体" w:eastAsia="宋体"/>
                <w:sz w:val="20"/>
                <w:szCs w:val="20"/>
              </w:rPr>
            </w:pPr>
            <w:r>
              <w:rPr>
                <w:rFonts w:hint="eastAsia" w:ascii="宋体" w:hAnsi="宋体" w:eastAsia="宋体"/>
                <w:sz w:val="20"/>
                <w:szCs w:val="20"/>
              </w:rPr>
              <w:t>35</w:t>
            </w:r>
          </w:p>
        </w:tc>
        <w:tc>
          <w:tcPr>
            <w:tcW w:w="1275" w:type="dxa"/>
          </w:tcPr>
          <w:p w14:paraId="0E8358C1">
            <w:pPr>
              <w:jc w:val="center"/>
              <w:rPr>
                <w:rFonts w:ascii="宋体" w:hAnsi="宋体" w:eastAsia="宋体"/>
                <w:sz w:val="20"/>
                <w:szCs w:val="20"/>
              </w:rPr>
            </w:pPr>
            <w:r>
              <w:rPr>
                <w:rFonts w:hint="eastAsia" w:ascii="宋体" w:hAnsi="宋体" w:eastAsia="宋体"/>
                <w:sz w:val="20"/>
                <w:szCs w:val="20"/>
              </w:rPr>
              <w:t>6%</w:t>
            </w:r>
          </w:p>
        </w:tc>
        <w:tc>
          <w:tcPr>
            <w:tcW w:w="993" w:type="dxa"/>
            <w:vAlign w:val="center"/>
          </w:tcPr>
          <w:p w14:paraId="3C480C5C">
            <w:pPr>
              <w:jc w:val="center"/>
              <w:rPr>
                <w:sz w:val="20"/>
                <w:szCs w:val="20"/>
              </w:rPr>
            </w:pPr>
            <w:r>
              <w:rPr>
                <w:rFonts w:hint="eastAsia"/>
                <w:sz w:val="20"/>
                <w:szCs w:val="20"/>
              </w:rPr>
              <w:t>预期性</w:t>
            </w:r>
          </w:p>
        </w:tc>
        <w:tc>
          <w:tcPr>
            <w:tcW w:w="1101" w:type="dxa"/>
            <w:vAlign w:val="center"/>
          </w:tcPr>
          <w:p w14:paraId="74568851">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538C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667006C8">
            <w:pPr>
              <w:jc w:val="center"/>
              <w:rPr>
                <w:sz w:val="20"/>
                <w:szCs w:val="20"/>
              </w:rPr>
            </w:pPr>
            <w:r>
              <w:rPr>
                <w:sz w:val="20"/>
                <w:szCs w:val="20"/>
              </w:rPr>
              <w:t>8</w:t>
            </w:r>
          </w:p>
        </w:tc>
        <w:tc>
          <w:tcPr>
            <w:tcW w:w="3823" w:type="dxa"/>
            <w:vAlign w:val="center"/>
          </w:tcPr>
          <w:p w14:paraId="46CDEB14">
            <w:pPr>
              <w:rPr>
                <w:sz w:val="20"/>
                <w:szCs w:val="20"/>
              </w:rPr>
            </w:pPr>
            <w:r>
              <w:rPr>
                <w:rFonts w:hint="eastAsia"/>
                <w:sz w:val="20"/>
                <w:szCs w:val="20"/>
              </w:rPr>
              <w:t>常住人口城镇化率（</w:t>
            </w:r>
            <w:r>
              <w:rPr>
                <w:sz w:val="20"/>
                <w:szCs w:val="20"/>
              </w:rPr>
              <w:t>%</w:t>
            </w:r>
            <w:r>
              <w:rPr>
                <w:rFonts w:hint="eastAsia"/>
                <w:sz w:val="20"/>
                <w:szCs w:val="20"/>
              </w:rPr>
              <w:t>）</w:t>
            </w:r>
          </w:p>
        </w:tc>
        <w:tc>
          <w:tcPr>
            <w:tcW w:w="1134" w:type="dxa"/>
          </w:tcPr>
          <w:p w14:paraId="7BFBBE6F">
            <w:pPr>
              <w:jc w:val="center"/>
              <w:rPr>
                <w:rFonts w:ascii="宋体" w:hAnsi="宋体" w:eastAsia="宋体"/>
                <w:sz w:val="20"/>
                <w:szCs w:val="20"/>
              </w:rPr>
            </w:pPr>
            <w:r>
              <w:rPr>
                <w:rFonts w:hint="eastAsia" w:ascii="仿宋_GB2312" w:hAnsi="仿宋_GB2312" w:cs="仿宋_GB2312"/>
                <w:b/>
                <w:bCs/>
                <w:sz w:val="13"/>
                <w:szCs w:val="13"/>
              </w:rPr>
              <w:t>待七人普数据下</w:t>
            </w:r>
            <w:r>
              <w:rPr>
                <w:rFonts w:hint="eastAsia"/>
                <w:sz w:val="13"/>
                <w:szCs w:val="13"/>
              </w:rPr>
              <w:t>核</w:t>
            </w:r>
          </w:p>
        </w:tc>
        <w:tc>
          <w:tcPr>
            <w:tcW w:w="993" w:type="dxa"/>
          </w:tcPr>
          <w:p w14:paraId="0E4A6C99">
            <w:pPr>
              <w:jc w:val="center"/>
              <w:rPr>
                <w:rFonts w:ascii="宋体" w:hAnsi="宋体" w:eastAsia="宋体"/>
                <w:sz w:val="20"/>
                <w:szCs w:val="20"/>
              </w:rPr>
            </w:pPr>
            <w:r>
              <w:rPr>
                <w:rFonts w:hint="eastAsia" w:ascii="宋体" w:hAnsi="宋体" w:eastAsia="宋体"/>
                <w:sz w:val="20"/>
                <w:szCs w:val="20"/>
              </w:rPr>
              <w:t>78.5</w:t>
            </w:r>
          </w:p>
        </w:tc>
        <w:tc>
          <w:tcPr>
            <w:tcW w:w="1275" w:type="dxa"/>
          </w:tcPr>
          <w:p w14:paraId="48915421">
            <w:pPr>
              <w:jc w:val="center"/>
              <w:rPr>
                <w:rFonts w:ascii="宋体" w:hAnsi="宋体" w:eastAsia="宋体"/>
                <w:sz w:val="20"/>
                <w:szCs w:val="20"/>
              </w:rPr>
            </w:pPr>
            <w:r>
              <w:rPr>
                <w:rFonts w:hint="eastAsia" w:ascii="宋体" w:hAnsi="宋体" w:eastAsia="宋体"/>
                <w:sz w:val="20"/>
                <w:szCs w:val="20"/>
              </w:rPr>
              <w:t>[1.3]</w:t>
            </w:r>
          </w:p>
        </w:tc>
        <w:tc>
          <w:tcPr>
            <w:tcW w:w="993" w:type="dxa"/>
            <w:vAlign w:val="center"/>
          </w:tcPr>
          <w:p w14:paraId="6B3F88F6">
            <w:pPr>
              <w:jc w:val="center"/>
              <w:rPr>
                <w:sz w:val="20"/>
                <w:szCs w:val="20"/>
              </w:rPr>
            </w:pPr>
            <w:r>
              <w:rPr>
                <w:rFonts w:hint="eastAsia"/>
                <w:sz w:val="20"/>
                <w:szCs w:val="20"/>
              </w:rPr>
              <w:t>预期性</w:t>
            </w:r>
          </w:p>
        </w:tc>
        <w:tc>
          <w:tcPr>
            <w:tcW w:w="1101" w:type="dxa"/>
            <w:vAlign w:val="center"/>
          </w:tcPr>
          <w:p w14:paraId="02BB6043">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5BB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14:paraId="54690748">
            <w:pPr>
              <w:rPr>
                <w:b/>
                <w:sz w:val="20"/>
                <w:szCs w:val="20"/>
              </w:rPr>
            </w:pPr>
            <w:r>
              <w:rPr>
                <w:rFonts w:hint="eastAsia"/>
                <w:b/>
                <w:sz w:val="20"/>
                <w:szCs w:val="20"/>
              </w:rPr>
              <w:t>二、创新驱动</w:t>
            </w:r>
          </w:p>
        </w:tc>
      </w:tr>
      <w:tr w14:paraId="57A4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64623B95">
            <w:pPr>
              <w:jc w:val="center"/>
              <w:rPr>
                <w:sz w:val="20"/>
                <w:szCs w:val="20"/>
              </w:rPr>
            </w:pPr>
            <w:r>
              <w:rPr>
                <w:sz w:val="20"/>
                <w:szCs w:val="20"/>
              </w:rPr>
              <w:t>9</w:t>
            </w:r>
          </w:p>
        </w:tc>
        <w:tc>
          <w:tcPr>
            <w:tcW w:w="3823" w:type="dxa"/>
            <w:vAlign w:val="center"/>
          </w:tcPr>
          <w:p w14:paraId="573B8385">
            <w:pPr>
              <w:adjustRightInd w:val="0"/>
              <w:snapToGrid w:val="0"/>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研究与发展经费支出占地区生产总值比重（</w:t>
            </w:r>
            <w:r>
              <w:rPr>
                <w:rFonts w:ascii="宋体" w:hAnsi="宋体" w:cs="宋体"/>
                <w:color w:val="0D0D0D" w:themeColor="text1" w:themeTint="F2"/>
                <w:kern w:val="0"/>
                <w:sz w:val="20"/>
                <w:szCs w:val="20"/>
                <w14:textFill>
                  <w14:solidFill>
                    <w14:schemeClr w14:val="tx1">
                      <w14:lumMod w14:val="95000"/>
                      <w14:lumOff w14:val="5000"/>
                    </w14:schemeClr>
                  </w14:solidFill>
                </w14:textFill>
              </w:rPr>
              <w:t>%</w:t>
            </w: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w:t>
            </w:r>
          </w:p>
        </w:tc>
        <w:tc>
          <w:tcPr>
            <w:tcW w:w="1134" w:type="dxa"/>
          </w:tcPr>
          <w:p w14:paraId="4DB94F7A">
            <w:pPr>
              <w:jc w:val="center"/>
              <w:rPr>
                <w:sz w:val="20"/>
                <w:szCs w:val="20"/>
              </w:rPr>
            </w:pPr>
            <w:r>
              <w:rPr>
                <w:rFonts w:hint="eastAsia"/>
                <w:sz w:val="20"/>
                <w:szCs w:val="20"/>
              </w:rPr>
              <w:t>未有数</w:t>
            </w:r>
          </w:p>
        </w:tc>
        <w:tc>
          <w:tcPr>
            <w:tcW w:w="993" w:type="dxa"/>
          </w:tcPr>
          <w:p w14:paraId="5ED528A5">
            <w:pPr>
              <w:jc w:val="center"/>
              <w:rPr>
                <w:sz w:val="20"/>
                <w:szCs w:val="20"/>
              </w:rPr>
            </w:pPr>
            <w:r>
              <w:rPr>
                <w:rFonts w:hint="eastAsia"/>
                <w:sz w:val="20"/>
                <w:szCs w:val="20"/>
              </w:rPr>
              <w:t>1</w:t>
            </w:r>
          </w:p>
        </w:tc>
        <w:tc>
          <w:tcPr>
            <w:tcW w:w="1275" w:type="dxa"/>
          </w:tcPr>
          <w:p w14:paraId="714954A5">
            <w:pPr>
              <w:jc w:val="center"/>
              <w:rPr>
                <w:sz w:val="20"/>
                <w:szCs w:val="20"/>
              </w:rPr>
            </w:pPr>
            <w:r>
              <w:rPr>
                <w:rFonts w:hint="eastAsia"/>
                <w:sz w:val="20"/>
                <w:szCs w:val="20"/>
              </w:rPr>
              <w:t>[</w:t>
            </w:r>
            <w:r>
              <w:rPr>
                <w:sz w:val="20"/>
                <w:szCs w:val="20"/>
              </w:rPr>
              <w:t>0.72]</w:t>
            </w:r>
          </w:p>
        </w:tc>
        <w:tc>
          <w:tcPr>
            <w:tcW w:w="993" w:type="dxa"/>
            <w:vAlign w:val="center"/>
          </w:tcPr>
          <w:p w14:paraId="4D17390A">
            <w:pPr>
              <w:jc w:val="center"/>
              <w:rPr>
                <w:sz w:val="20"/>
                <w:szCs w:val="20"/>
              </w:rPr>
            </w:pPr>
            <w:r>
              <w:rPr>
                <w:rFonts w:hint="eastAsia"/>
                <w:sz w:val="20"/>
                <w:szCs w:val="20"/>
              </w:rPr>
              <w:t>预期性</w:t>
            </w:r>
          </w:p>
        </w:tc>
        <w:tc>
          <w:tcPr>
            <w:tcW w:w="1101" w:type="dxa"/>
            <w:vAlign w:val="center"/>
          </w:tcPr>
          <w:p w14:paraId="575F2991">
            <w:pPr>
              <w:jc w:val="center"/>
              <w:rPr>
                <w:sz w:val="20"/>
                <w:szCs w:val="20"/>
              </w:rPr>
            </w:pPr>
          </w:p>
        </w:tc>
      </w:tr>
      <w:tr w14:paraId="5B4B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708" w:type="dxa"/>
            <w:vAlign w:val="center"/>
          </w:tcPr>
          <w:p w14:paraId="4ABCEC72">
            <w:pPr>
              <w:jc w:val="center"/>
              <w:rPr>
                <w:sz w:val="20"/>
                <w:szCs w:val="20"/>
              </w:rPr>
            </w:pPr>
            <w:r>
              <w:rPr>
                <w:rFonts w:hint="eastAsia"/>
                <w:sz w:val="20"/>
                <w:szCs w:val="20"/>
              </w:rPr>
              <w:t>1</w:t>
            </w:r>
            <w:r>
              <w:rPr>
                <w:sz w:val="20"/>
                <w:szCs w:val="20"/>
              </w:rPr>
              <w:t>0</w:t>
            </w:r>
          </w:p>
        </w:tc>
        <w:tc>
          <w:tcPr>
            <w:tcW w:w="3823" w:type="dxa"/>
            <w:vAlign w:val="center"/>
          </w:tcPr>
          <w:p w14:paraId="0A5811B1">
            <w:pPr>
              <w:rPr>
                <w:sz w:val="20"/>
                <w:szCs w:val="20"/>
              </w:rPr>
            </w:pPr>
            <w:r>
              <w:rPr>
                <w:rFonts w:hint="eastAsia"/>
                <w:sz w:val="20"/>
                <w:szCs w:val="20"/>
              </w:rPr>
              <w:t>数字经济核心产业增加值占GDP比例（%）</w:t>
            </w:r>
          </w:p>
        </w:tc>
        <w:tc>
          <w:tcPr>
            <w:tcW w:w="1134" w:type="dxa"/>
          </w:tcPr>
          <w:p w14:paraId="0A3B4DED">
            <w:pPr>
              <w:jc w:val="center"/>
              <w:rPr>
                <w:sz w:val="20"/>
                <w:szCs w:val="20"/>
              </w:rPr>
            </w:pPr>
          </w:p>
        </w:tc>
        <w:tc>
          <w:tcPr>
            <w:tcW w:w="993" w:type="dxa"/>
            <w:vAlign w:val="center"/>
          </w:tcPr>
          <w:p w14:paraId="72872F58">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区内暂无核算</w:t>
            </w:r>
          </w:p>
        </w:tc>
        <w:tc>
          <w:tcPr>
            <w:tcW w:w="1275" w:type="dxa"/>
          </w:tcPr>
          <w:p w14:paraId="6FA56B14">
            <w:pPr>
              <w:jc w:val="center"/>
              <w:rPr>
                <w:sz w:val="20"/>
                <w:szCs w:val="20"/>
              </w:rPr>
            </w:pPr>
          </w:p>
        </w:tc>
        <w:tc>
          <w:tcPr>
            <w:tcW w:w="993" w:type="dxa"/>
            <w:vAlign w:val="center"/>
          </w:tcPr>
          <w:p w14:paraId="47289EDF">
            <w:pPr>
              <w:jc w:val="center"/>
              <w:rPr>
                <w:sz w:val="20"/>
                <w:szCs w:val="20"/>
              </w:rPr>
            </w:pPr>
            <w:r>
              <w:rPr>
                <w:rFonts w:hint="eastAsia"/>
                <w:sz w:val="20"/>
                <w:szCs w:val="20"/>
              </w:rPr>
              <w:t>预期性</w:t>
            </w:r>
          </w:p>
        </w:tc>
        <w:tc>
          <w:tcPr>
            <w:tcW w:w="1101" w:type="dxa"/>
            <w:vAlign w:val="center"/>
          </w:tcPr>
          <w:p w14:paraId="0C51A9AF">
            <w:pPr>
              <w:jc w:val="center"/>
              <w:rPr>
                <w:sz w:val="20"/>
                <w:szCs w:val="20"/>
              </w:rPr>
            </w:pPr>
          </w:p>
        </w:tc>
      </w:tr>
      <w:tr w14:paraId="4FE8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08" w:type="dxa"/>
            <w:vAlign w:val="center"/>
          </w:tcPr>
          <w:p w14:paraId="2D2B3748">
            <w:pPr>
              <w:jc w:val="center"/>
              <w:rPr>
                <w:sz w:val="20"/>
                <w:szCs w:val="20"/>
              </w:rPr>
            </w:pPr>
            <w:r>
              <w:rPr>
                <w:sz w:val="20"/>
                <w:szCs w:val="20"/>
              </w:rPr>
              <w:t>11</w:t>
            </w:r>
          </w:p>
        </w:tc>
        <w:tc>
          <w:tcPr>
            <w:tcW w:w="3823" w:type="dxa"/>
            <w:vAlign w:val="center"/>
          </w:tcPr>
          <w:p w14:paraId="649BF9CE">
            <w:pPr>
              <w:rPr>
                <w:sz w:val="20"/>
                <w:szCs w:val="20"/>
              </w:rPr>
            </w:pPr>
            <w:r>
              <w:rPr>
                <w:rFonts w:hint="eastAsia"/>
                <w:sz w:val="20"/>
                <w:szCs w:val="20"/>
              </w:rPr>
              <w:t>每万人发明专利拥有量（件）</w:t>
            </w:r>
          </w:p>
        </w:tc>
        <w:tc>
          <w:tcPr>
            <w:tcW w:w="1134" w:type="dxa"/>
          </w:tcPr>
          <w:p w14:paraId="03DF1A54">
            <w:pPr>
              <w:jc w:val="center"/>
              <w:rPr>
                <w:rFonts w:ascii="宋体" w:hAnsi="宋体" w:eastAsia="宋体"/>
                <w:sz w:val="20"/>
                <w:szCs w:val="20"/>
              </w:rPr>
            </w:pPr>
            <w:r>
              <w:rPr>
                <w:rFonts w:hint="eastAsia" w:ascii="宋体" w:hAnsi="宋体" w:eastAsia="宋体"/>
                <w:sz w:val="20"/>
                <w:szCs w:val="20"/>
              </w:rPr>
              <w:t>1.28</w:t>
            </w:r>
          </w:p>
        </w:tc>
        <w:tc>
          <w:tcPr>
            <w:tcW w:w="993" w:type="dxa"/>
          </w:tcPr>
          <w:p w14:paraId="31381CB4">
            <w:pPr>
              <w:jc w:val="center"/>
              <w:rPr>
                <w:rFonts w:ascii="宋体" w:hAnsi="宋体" w:eastAsia="宋体"/>
                <w:sz w:val="20"/>
                <w:szCs w:val="20"/>
              </w:rPr>
            </w:pPr>
            <w:r>
              <w:rPr>
                <w:rFonts w:hint="eastAsia" w:ascii="宋体" w:hAnsi="宋体" w:eastAsia="宋体"/>
                <w:sz w:val="20"/>
                <w:szCs w:val="20"/>
              </w:rPr>
              <w:t>2.61</w:t>
            </w:r>
          </w:p>
        </w:tc>
        <w:tc>
          <w:tcPr>
            <w:tcW w:w="1275" w:type="dxa"/>
          </w:tcPr>
          <w:p w14:paraId="33DD5ED1">
            <w:pPr>
              <w:jc w:val="center"/>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1.3</w:t>
            </w:r>
            <w:r>
              <w:rPr>
                <w:rFonts w:hint="eastAsia" w:ascii="宋体" w:hAnsi="宋体" w:eastAsia="宋体"/>
                <w:sz w:val="20"/>
                <w:szCs w:val="20"/>
              </w:rPr>
              <w:t>3]</w:t>
            </w:r>
          </w:p>
        </w:tc>
        <w:tc>
          <w:tcPr>
            <w:tcW w:w="993" w:type="dxa"/>
            <w:vAlign w:val="center"/>
          </w:tcPr>
          <w:p w14:paraId="698D1C66">
            <w:pPr>
              <w:jc w:val="center"/>
              <w:rPr>
                <w:sz w:val="20"/>
                <w:szCs w:val="20"/>
              </w:rPr>
            </w:pPr>
            <w:r>
              <w:rPr>
                <w:rFonts w:hint="eastAsia"/>
                <w:sz w:val="20"/>
                <w:szCs w:val="20"/>
              </w:rPr>
              <w:t>预期性</w:t>
            </w:r>
          </w:p>
        </w:tc>
        <w:tc>
          <w:tcPr>
            <w:tcW w:w="1101" w:type="dxa"/>
            <w:vAlign w:val="center"/>
          </w:tcPr>
          <w:p w14:paraId="06BF7793">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34BB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14:paraId="77E10C88">
            <w:pPr>
              <w:rPr>
                <w:b/>
                <w:sz w:val="20"/>
                <w:szCs w:val="20"/>
              </w:rPr>
            </w:pPr>
            <w:r>
              <w:rPr>
                <w:rFonts w:hint="eastAsia"/>
                <w:b/>
                <w:sz w:val="20"/>
                <w:szCs w:val="20"/>
              </w:rPr>
              <w:t>三、社会民生</w:t>
            </w:r>
          </w:p>
        </w:tc>
      </w:tr>
      <w:tr w14:paraId="6352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708" w:type="dxa"/>
            <w:vAlign w:val="center"/>
          </w:tcPr>
          <w:p w14:paraId="164A9C75">
            <w:pPr>
              <w:jc w:val="center"/>
              <w:rPr>
                <w:sz w:val="20"/>
                <w:szCs w:val="20"/>
              </w:rPr>
            </w:pPr>
            <w:r>
              <w:rPr>
                <w:sz w:val="20"/>
                <w:szCs w:val="20"/>
              </w:rPr>
              <w:t>12</w:t>
            </w:r>
          </w:p>
        </w:tc>
        <w:tc>
          <w:tcPr>
            <w:tcW w:w="3823" w:type="dxa"/>
            <w:vAlign w:val="center"/>
          </w:tcPr>
          <w:p w14:paraId="3A6F7E51">
            <w:pPr>
              <w:rPr>
                <w:sz w:val="20"/>
                <w:szCs w:val="20"/>
              </w:rPr>
            </w:pPr>
            <w:r>
              <w:rPr>
                <w:rFonts w:hint="eastAsia"/>
                <w:sz w:val="20"/>
                <w:szCs w:val="20"/>
              </w:rPr>
              <w:t>居民人均可支配收入</w:t>
            </w:r>
          </w:p>
        </w:tc>
        <w:tc>
          <w:tcPr>
            <w:tcW w:w="1134" w:type="dxa"/>
            <w:vAlign w:val="center"/>
          </w:tcPr>
          <w:p w14:paraId="5FA25C20">
            <w:pPr>
              <w:jc w:val="center"/>
              <w:rPr>
                <w:rFonts w:ascii="宋体" w:hAnsi="宋体" w:eastAsia="宋体"/>
                <w:sz w:val="20"/>
                <w:szCs w:val="20"/>
              </w:rPr>
            </w:pPr>
            <w:r>
              <w:rPr>
                <w:rFonts w:hint="eastAsia" w:ascii="宋体" w:hAnsi="宋体" w:eastAsia="宋体"/>
                <w:sz w:val="20"/>
                <w:szCs w:val="20"/>
              </w:rPr>
              <w:t>26</w:t>
            </w:r>
            <w:r>
              <w:rPr>
                <w:rFonts w:ascii="宋体" w:hAnsi="宋体" w:eastAsia="宋体"/>
                <w:sz w:val="20"/>
                <w:szCs w:val="20"/>
              </w:rPr>
              <w:t>393</w:t>
            </w:r>
          </w:p>
        </w:tc>
        <w:tc>
          <w:tcPr>
            <w:tcW w:w="993" w:type="dxa"/>
            <w:vAlign w:val="center"/>
          </w:tcPr>
          <w:p w14:paraId="2AB1DB26">
            <w:pPr>
              <w:jc w:val="center"/>
              <w:rPr>
                <w:rFonts w:ascii="宋体" w:hAnsi="宋体" w:eastAsia="宋体"/>
                <w:sz w:val="20"/>
                <w:szCs w:val="20"/>
              </w:rPr>
            </w:pPr>
            <w:r>
              <w:rPr>
                <w:rFonts w:hint="eastAsia" w:ascii="宋体" w:hAnsi="宋体" w:eastAsia="宋体"/>
                <w:sz w:val="20"/>
                <w:szCs w:val="20"/>
              </w:rPr>
              <w:t>37000</w:t>
            </w:r>
          </w:p>
        </w:tc>
        <w:tc>
          <w:tcPr>
            <w:tcW w:w="1275" w:type="dxa"/>
          </w:tcPr>
          <w:p w14:paraId="5C19EFC5">
            <w:pPr>
              <w:adjustRightInd w:val="0"/>
              <w:snapToGrid w:val="0"/>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olor w:val="0D0D0D" w:themeColor="text1" w:themeTint="F2"/>
                <w:kern w:val="0"/>
                <w:sz w:val="20"/>
                <w:szCs w:val="20"/>
                <w14:textFill>
                  <w14:solidFill>
                    <w14:schemeClr w14:val="tx1">
                      <w14:lumMod w14:val="95000"/>
                      <w14:lumOff w14:val="5000"/>
                    </w14:schemeClr>
                  </w14:solidFill>
                </w14:textFill>
              </w:rPr>
              <w:t>与经济增长同步</w:t>
            </w:r>
          </w:p>
        </w:tc>
        <w:tc>
          <w:tcPr>
            <w:tcW w:w="993" w:type="dxa"/>
            <w:vAlign w:val="center"/>
          </w:tcPr>
          <w:p w14:paraId="13B70207">
            <w:pPr>
              <w:jc w:val="center"/>
              <w:rPr>
                <w:sz w:val="20"/>
                <w:szCs w:val="20"/>
              </w:rPr>
            </w:pPr>
            <w:r>
              <w:rPr>
                <w:rFonts w:hint="eastAsia"/>
                <w:sz w:val="20"/>
                <w:szCs w:val="20"/>
              </w:rPr>
              <w:t>预期性</w:t>
            </w:r>
          </w:p>
        </w:tc>
        <w:tc>
          <w:tcPr>
            <w:tcW w:w="1101" w:type="dxa"/>
            <w:vAlign w:val="center"/>
          </w:tcPr>
          <w:p w14:paraId="663AEB98">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78AA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5325DFD1">
            <w:pPr>
              <w:jc w:val="center"/>
              <w:rPr>
                <w:sz w:val="20"/>
                <w:szCs w:val="20"/>
              </w:rPr>
            </w:pPr>
            <w:r>
              <w:rPr>
                <w:sz w:val="20"/>
                <w:szCs w:val="20"/>
              </w:rPr>
              <w:t>13</w:t>
            </w:r>
          </w:p>
        </w:tc>
        <w:tc>
          <w:tcPr>
            <w:tcW w:w="3823" w:type="dxa"/>
            <w:vAlign w:val="center"/>
          </w:tcPr>
          <w:p w14:paraId="293A585E">
            <w:pPr>
              <w:rPr>
                <w:sz w:val="20"/>
                <w:szCs w:val="20"/>
              </w:rPr>
            </w:pPr>
            <w:r>
              <w:rPr>
                <w:rFonts w:hint="eastAsia"/>
                <w:sz w:val="20"/>
                <w:szCs w:val="20"/>
              </w:rPr>
              <w:t>城镇登记失业率（</w:t>
            </w:r>
            <w:r>
              <w:rPr>
                <w:sz w:val="20"/>
                <w:szCs w:val="20"/>
              </w:rPr>
              <w:t>%</w:t>
            </w:r>
            <w:r>
              <w:rPr>
                <w:rFonts w:hint="eastAsia"/>
                <w:sz w:val="20"/>
                <w:szCs w:val="20"/>
              </w:rPr>
              <w:t>）</w:t>
            </w:r>
          </w:p>
        </w:tc>
        <w:tc>
          <w:tcPr>
            <w:tcW w:w="1134" w:type="dxa"/>
            <w:vAlign w:val="center"/>
          </w:tcPr>
          <w:p w14:paraId="25079077">
            <w:pPr>
              <w:jc w:val="center"/>
              <w:rPr>
                <w:rFonts w:ascii="宋体" w:hAnsi="宋体" w:eastAsia="宋体"/>
                <w:sz w:val="20"/>
                <w:szCs w:val="20"/>
              </w:rPr>
            </w:pPr>
            <w:r>
              <w:rPr>
                <w:rFonts w:hint="eastAsia" w:ascii="宋体" w:hAnsi="宋体" w:eastAsia="宋体"/>
                <w:sz w:val="20"/>
                <w:szCs w:val="20"/>
              </w:rPr>
              <w:t>&lt;4%</w:t>
            </w:r>
          </w:p>
        </w:tc>
        <w:tc>
          <w:tcPr>
            <w:tcW w:w="993" w:type="dxa"/>
            <w:vAlign w:val="center"/>
          </w:tcPr>
          <w:p w14:paraId="03F9A46D">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控制在4%以内</w:t>
            </w:r>
          </w:p>
        </w:tc>
        <w:tc>
          <w:tcPr>
            <w:tcW w:w="1275" w:type="dxa"/>
          </w:tcPr>
          <w:p w14:paraId="09171D9B">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14:paraId="0222619E">
            <w:pPr>
              <w:jc w:val="center"/>
              <w:rPr>
                <w:sz w:val="20"/>
                <w:szCs w:val="20"/>
              </w:rPr>
            </w:pPr>
            <w:r>
              <w:rPr>
                <w:rFonts w:hint="eastAsia"/>
                <w:sz w:val="20"/>
                <w:szCs w:val="20"/>
              </w:rPr>
              <w:t>预期性</w:t>
            </w:r>
          </w:p>
        </w:tc>
        <w:tc>
          <w:tcPr>
            <w:tcW w:w="1101" w:type="dxa"/>
            <w:vAlign w:val="center"/>
          </w:tcPr>
          <w:p w14:paraId="19851B32">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48F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747F5762">
            <w:pPr>
              <w:jc w:val="center"/>
              <w:rPr>
                <w:sz w:val="20"/>
                <w:szCs w:val="20"/>
              </w:rPr>
            </w:pPr>
            <w:r>
              <w:rPr>
                <w:rFonts w:hint="eastAsia"/>
                <w:sz w:val="20"/>
                <w:szCs w:val="20"/>
              </w:rPr>
              <w:t>14</w:t>
            </w:r>
          </w:p>
        </w:tc>
        <w:tc>
          <w:tcPr>
            <w:tcW w:w="3823" w:type="dxa"/>
            <w:vAlign w:val="center"/>
          </w:tcPr>
          <w:p w14:paraId="24F280AE">
            <w:pPr>
              <w:rPr>
                <w:sz w:val="20"/>
                <w:szCs w:val="20"/>
              </w:rPr>
            </w:pPr>
            <w:r>
              <w:rPr>
                <w:rFonts w:hint="eastAsia"/>
                <w:sz w:val="20"/>
                <w:szCs w:val="20"/>
              </w:rPr>
              <w:t>人均预期寿命（岁）</w:t>
            </w:r>
          </w:p>
        </w:tc>
        <w:tc>
          <w:tcPr>
            <w:tcW w:w="1134" w:type="dxa"/>
          </w:tcPr>
          <w:p w14:paraId="676EF42D">
            <w:pPr>
              <w:jc w:val="center"/>
              <w:rPr>
                <w:rFonts w:ascii="宋体" w:hAnsi="宋体" w:eastAsia="宋体"/>
                <w:sz w:val="20"/>
                <w:szCs w:val="20"/>
              </w:rPr>
            </w:pPr>
            <w:r>
              <w:rPr>
                <w:rFonts w:hint="eastAsia" w:ascii="宋体" w:hAnsi="宋体" w:eastAsia="宋体"/>
                <w:sz w:val="20"/>
                <w:szCs w:val="20"/>
              </w:rPr>
              <w:t>80.62</w:t>
            </w:r>
          </w:p>
        </w:tc>
        <w:tc>
          <w:tcPr>
            <w:tcW w:w="993" w:type="dxa"/>
          </w:tcPr>
          <w:p w14:paraId="449C32E1">
            <w:pPr>
              <w:jc w:val="center"/>
              <w:rPr>
                <w:rFonts w:ascii="宋体" w:hAnsi="宋体" w:eastAsia="宋体"/>
                <w:sz w:val="20"/>
                <w:szCs w:val="20"/>
              </w:rPr>
            </w:pPr>
            <w:r>
              <w:rPr>
                <w:rFonts w:hint="eastAsia" w:ascii="宋体" w:hAnsi="宋体" w:eastAsia="宋体"/>
                <w:sz w:val="20"/>
                <w:szCs w:val="20"/>
              </w:rPr>
              <w:t>81</w:t>
            </w:r>
          </w:p>
        </w:tc>
        <w:tc>
          <w:tcPr>
            <w:tcW w:w="1275" w:type="dxa"/>
          </w:tcPr>
          <w:p w14:paraId="37AA78E8">
            <w:pPr>
              <w:jc w:val="center"/>
              <w:rPr>
                <w:rFonts w:ascii="宋体" w:hAnsi="宋体" w:eastAsia="宋体"/>
                <w:sz w:val="20"/>
                <w:szCs w:val="20"/>
              </w:rPr>
            </w:pPr>
            <w:r>
              <w:rPr>
                <w:rFonts w:hint="eastAsia" w:ascii="宋体" w:hAnsi="宋体" w:eastAsia="宋体"/>
                <w:sz w:val="20"/>
                <w:szCs w:val="20"/>
              </w:rPr>
              <w:t>[0.38]</w:t>
            </w:r>
          </w:p>
        </w:tc>
        <w:tc>
          <w:tcPr>
            <w:tcW w:w="993" w:type="dxa"/>
            <w:vAlign w:val="center"/>
          </w:tcPr>
          <w:p w14:paraId="481AB6CE">
            <w:pPr>
              <w:jc w:val="center"/>
              <w:rPr>
                <w:sz w:val="20"/>
                <w:szCs w:val="20"/>
              </w:rPr>
            </w:pPr>
            <w:r>
              <w:rPr>
                <w:rFonts w:hint="eastAsia"/>
                <w:sz w:val="20"/>
                <w:szCs w:val="20"/>
              </w:rPr>
              <w:t>预期性</w:t>
            </w:r>
          </w:p>
        </w:tc>
        <w:tc>
          <w:tcPr>
            <w:tcW w:w="1101" w:type="dxa"/>
            <w:vAlign w:val="center"/>
          </w:tcPr>
          <w:p w14:paraId="1047BA0E">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2412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3FA4DDC4">
            <w:pPr>
              <w:jc w:val="center"/>
              <w:rPr>
                <w:sz w:val="20"/>
                <w:szCs w:val="20"/>
              </w:rPr>
            </w:pPr>
            <w:r>
              <w:rPr>
                <w:rFonts w:hint="eastAsia"/>
                <w:sz w:val="20"/>
                <w:szCs w:val="20"/>
              </w:rPr>
              <w:t>15</w:t>
            </w:r>
          </w:p>
        </w:tc>
        <w:tc>
          <w:tcPr>
            <w:tcW w:w="3823" w:type="dxa"/>
          </w:tcPr>
          <w:p w14:paraId="57118BAF">
            <w:pPr>
              <w:rPr>
                <w:sz w:val="20"/>
                <w:szCs w:val="20"/>
              </w:rPr>
            </w:pPr>
            <w:r>
              <w:rPr>
                <w:rFonts w:hint="eastAsia"/>
                <w:sz w:val="20"/>
                <w:szCs w:val="20"/>
              </w:rPr>
              <w:t>劳动年龄人口平均受教育年限（年）</w:t>
            </w:r>
          </w:p>
        </w:tc>
        <w:tc>
          <w:tcPr>
            <w:tcW w:w="1134" w:type="dxa"/>
          </w:tcPr>
          <w:p w14:paraId="08740CEE">
            <w:pPr>
              <w:jc w:val="center"/>
              <w:rPr>
                <w:rFonts w:ascii="宋体" w:hAnsi="宋体" w:eastAsia="宋体"/>
                <w:sz w:val="20"/>
                <w:szCs w:val="20"/>
              </w:rPr>
            </w:pPr>
            <w:r>
              <w:rPr>
                <w:rFonts w:ascii="宋体" w:hAnsi="宋体" w:eastAsia="宋体"/>
                <w:sz w:val="20"/>
                <w:szCs w:val="20"/>
              </w:rPr>
              <w:t>11.5</w:t>
            </w:r>
          </w:p>
        </w:tc>
        <w:tc>
          <w:tcPr>
            <w:tcW w:w="993" w:type="dxa"/>
          </w:tcPr>
          <w:p w14:paraId="432FF5AF">
            <w:pPr>
              <w:jc w:val="center"/>
              <w:rPr>
                <w:rFonts w:ascii="宋体" w:hAnsi="宋体" w:eastAsia="宋体"/>
                <w:sz w:val="20"/>
                <w:szCs w:val="20"/>
              </w:rPr>
            </w:pPr>
            <w:r>
              <w:rPr>
                <w:rFonts w:ascii="宋体" w:hAnsi="宋体" w:eastAsia="宋体"/>
                <w:sz w:val="20"/>
                <w:szCs w:val="20"/>
              </w:rPr>
              <w:t>13.31</w:t>
            </w:r>
          </w:p>
        </w:tc>
        <w:tc>
          <w:tcPr>
            <w:tcW w:w="1275" w:type="dxa"/>
          </w:tcPr>
          <w:p w14:paraId="17DEBA2C">
            <w:pPr>
              <w:jc w:val="center"/>
              <w:rPr>
                <w:rFonts w:ascii="宋体" w:hAnsi="宋体" w:eastAsia="宋体"/>
                <w:sz w:val="20"/>
                <w:szCs w:val="20"/>
              </w:rPr>
            </w:pPr>
            <w:r>
              <w:rPr>
                <w:rFonts w:hint="eastAsia" w:ascii="宋体" w:hAnsi="宋体" w:eastAsia="宋体"/>
                <w:sz w:val="20"/>
                <w:szCs w:val="20"/>
              </w:rPr>
              <w:t>[1.81]</w:t>
            </w:r>
          </w:p>
        </w:tc>
        <w:tc>
          <w:tcPr>
            <w:tcW w:w="993" w:type="dxa"/>
          </w:tcPr>
          <w:p w14:paraId="7489C47B">
            <w:pPr>
              <w:jc w:val="center"/>
              <w:rPr>
                <w:sz w:val="20"/>
                <w:szCs w:val="20"/>
              </w:rPr>
            </w:pPr>
            <w:r>
              <w:rPr>
                <w:rFonts w:hint="eastAsia"/>
                <w:sz w:val="20"/>
                <w:szCs w:val="20"/>
              </w:rPr>
              <w:t>约束性</w:t>
            </w:r>
          </w:p>
        </w:tc>
        <w:tc>
          <w:tcPr>
            <w:tcW w:w="1101" w:type="dxa"/>
            <w:vAlign w:val="center"/>
          </w:tcPr>
          <w:p w14:paraId="58022E16">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r w14:paraId="0242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64ECE366">
            <w:pPr>
              <w:jc w:val="center"/>
              <w:rPr>
                <w:sz w:val="20"/>
                <w:szCs w:val="20"/>
              </w:rPr>
            </w:pPr>
            <w:r>
              <w:rPr>
                <w:sz w:val="20"/>
                <w:szCs w:val="20"/>
              </w:rPr>
              <w:t>16</w:t>
            </w:r>
          </w:p>
        </w:tc>
        <w:tc>
          <w:tcPr>
            <w:tcW w:w="3823" w:type="dxa"/>
            <w:vAlign w:val="center"/>
          </w:tcPr>
          <w:p w14:paraId="272BBA92">
            <w:pPr>
              <w:rPr>
                <w:sz w:val="20"/>
                <w:szCs w:val="20"/>
              </w:rPr>
            </w:pPr>
            <w:r>
              <w:rPr>
                <w:rFonts w:hint="eastAsia"/>
                <w:sz w:val="20"/>
                <w:szCs w:val="20"/>
              </w:rPr>
              <w:t>每千人口执业（助理）医师数（人）</w:t>
            </w:r>
          </w:p>
        </w:tc>
        <w:tc>
          <w:tcPr>
            <w:tcW w:w="1134" w:type="dxa"/>
          </w:tcPr>
          <w:p w14:paraId="340D7DCA">
            <w:pPr>
              <w:jc w:val="center"/>
              <w:rPr>
                <w:rFonts w:ascii="宋体" w:hAnsi="宋体" w:eastAsia="宋体"/>
                <w:sz w:val="20"/>
                <w:szCs w:val="20"/>
              </w:rPr>
            </w:pPr>
            <w:r>
              <w:rPr>
                <w:rFonts w:hint="eastAsia" w:ascii="宋体" w:hAnsi="宋体" w:eastAsia="宋体"/>
                <w:sz w:val="20"/>
                <w:szCs w:val="20"/>
              </w:rPr>
              <w:t>1.38</w:t>
            </w:r>
          </w:p>
        </w:tc>
        <w:tc>
          <w:tcPr>
            <w:tcW w:w="993" w:type="dxa"/>
          </w:tcPr>
          <w:p w14:paraId="2668B669">
            <w:pPr>
              <w:jc w:val="center"/>
              <w:rPr>
                <w:rFonts w:ascii="宋体" w:hAnsi="宋体" w:eastAsia="宋体"/>
                <w:sz w:val="20"/>
                <w:szCs w:val="20"/>
              </w:rPr>
            </w:pPr>
            <w:r>
              <w:rPr>
                <w:rFonts w:hint="eastAsia" w:ascii="宋体" w:hAnsi="宋体" w:eastAsia="宋体"/>
                <w:sz w:val="20"/>
                <w:szCs w:val="20"/>
              </w:rPr>
              <w:t>1.8</w:t>
            </w:r>
          </w:p>
        </w:tc>
        <w:tc>
          <w:tcPr>
            <w:tcW w:w="1275" w:type="dxa"/>
          </w:tcPr>
          <w:p w14:paraId="20ABB69B">
            <w:pPr>
              <w:jc w:val="center"/>
              <w:rPr>
                <w:rFonts w:ascii="宋体" w:hAnsi="宋体" w:eastAsia="宋体"/>
                <w:sz w:val="20"/>
                <w:szCs w:val="20"/>
              </w:rPr>
            </w:pPr>
            <w:r>
              <w:rPr>
                <w:rFonts w:hint="eastAsia" w:ascii="宋体" w:hAnsi="宋体" w:eastAsia="宋体"/>
                <w:sz w:val="20"/>
                <w:szCs w:val="20"/>
              </w:rPr>
              <w:t>[0.42]</w:t>
            </w:r>
          </w:p>
        </w:tc>
        <w:tc>
          <w:tcPr>
            <w:tcW w:w="993" w:type="dxa"/>
            <w:vAlign w:val="center"/>
          </w:tcPr>
          <w:p w14:paraId="20DC235E">
            <w:pPr>
              <w:jc w:val="center"/>
              <w:rPr>
                <w:sz w:val="20"/>
                <w:szCs w:val="20"/>
              </w:rPr>
            </w:pPr>
            <w:r>
              <w:rPr>
                <w:rFonts w:hint="eastAsia"/>
                <w:sz w:val="20"/>
                <w:szCs w:val="20"/>
              </w:rPr>
              <w:t>约束性</w:t>
            </w:r>
          </w:p>
        </w:tc>
        <w:tc>
          <w:tcPr>
            <w:tcW w:w="1101" w:type="dxa"/>
            <w:vAlign w:val="center"/>
          </w:tcPr>
          <w:p w14:paraId="17BA5E5A">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239D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686AD398">
            <w:pPr>
              <w:jc w:val="center"/>
              <w:rPr>
                <w:sz w:val="20"/>
                <w:szCs w:val="20"/>
              </w:rPr>
            </w:pPr>
            <w:r>
              <w:rPr>
                <w:rFonts w:hint="eastAsia"/>
                <w:sz w:val="20"/>
                <w:szCs w:val="20"/>
              </w:rPr>
              <w:t>17</w:t>
            </w:r>
          </w:p>
        </w:tc>
        <w:tc>
          <w:tcPr>
            <w:tcW w:w="3823" w:type="dxa"/>
          </w:tcPr>
          <w:p w14:paraId="48487683">
            <w:pPr>
              <w:rPr>
                <w:sz w:val="20"/>
                <w:szCs w:val="20"/>
              </w:rPr>
            </w:pPr>
            <w:r>
              <w:rPr>
                <w:rFonts w:hint="eastAsia"/>
                <w:sz w:val="20"/>
                <w:szCs w:val="20"/>
              </w:rPr>
              <w:t>基本养老保险参保人数（万人）</w:t>
            </w:r>
          </w:p>
        </w:tc>
        <w:tc>
          <w:tcPr>
            <w:tcW w:w="1134" w:type="dxa"/>
          </w:tcPr>
          <w:p w14:paraId="17C4556E">
            <w:pPr>
              <w:jc w:val="center"/>
              <w:rPr>
                <w:rFonts w:ascii="宋体" w:hAnsi="宋体" w:eastAsia="宋体"/>
                <w:sz w:val="20"/>
                <w:szCs w:val="20"/>
              </w:rPr>
            </w:pPr>
            <w:r>
              <w:rPr>
                <w:rFonts w:hint="eastAsia" w:ascii="宋体" w:hAnsi="宋体" w:eastAsia="宋体"/>
                <w:sz w:val="20"/>
                <w:szCs w:val="20"/>
              </w:rPr>
              <w:t>21.58</w:t>
            </w:r>
          </w:p>
        </w:tc>
        <w:tc>
          <w:tcPr>
            <w:tcW w:w="993" w:type="dxa"/>
            <w:vAlign w:val="center"/>
          </w:tcPr>
          <w:p w14:paraId="455C70E6">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以市下达目标为准</w:t>
            </w:r>
          </w:p>
        </w:tc>
        <w:tc>
          <w:tcPr>
            <w:tcW w:w="1275" w:type="dxa"/>
          </w:tcPr>
          <w:p w14:paraId="19B30C8C">
            <w:pPr>
              <w:jc w:val="center"/>
              <w:rPr>
                <w:rFonts w:ascii="宋体" w:hAnsi="宋体" w:eastAsia="宋体"/>
                <w:sz w:val="20"/>
                <w:szCs w:val="20"/>
              </w:rPr>
            </w:pPr>
            <w:r>
              <w:rPr>
                <w:rFonts w:hint="eastAsia" w:ascii="宋体" w:hAnsi="宋体" w:eastAsia="宋体"/>
                <w:sz w:val="20"/>
                <w:szCs w:val="20"/>
              </w:rPr>
              <w:t>-</w:t>
            </w:r>
          </w:p>
        </w:tc>
        <w:tc>
          <w:tcPr>
            <w:tcW w:w="993" w:type="dxa"/>
          </w:tcPr>
          <w:p w14:paraId="1FA43D96">
            <w:pPr>
              <w:jc w:val="center"/>
              <w:rPr>
                <w:sz w:val="20"/>
                <w:szCs w:val="20"/>
              </w:rPr>
            </w:pPr>
            <w:r>
              <w:rPr>
                <w:rFonts w:hint="eastAsia"/>
                <w:sz w:val="20"/>
                <w:szCs w:val="20"/>
              </w:rPr>
              <w:t>预期性</w:t>
            </w:r>
          </w:p>
        </w:tc>
        <w:tc>
          <w:tcPr>
            <w:tcW w:w="1101" w:type="dxa"/>
            <w:vAlign w:val="center"/>
          </w:tcPr>
          <w:p w14:paraId="507D09E6">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067B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14:paraId="0C524724">
            <w:pPr>
              <w:rPr>
                <w:b/>
                <w:sz w:val="20"/>
                <w:szCs w:val="20"/>
              </w:rPr>
            </w:pPr>
            <w:r>
              <w:rPr>
                <w:rFonts w:hint="eastAsia"/>
                <w:b/>
                <w:sz w:val="20"/>
                <w:szCs w:val="20"/>
              </w:rPr>
              <w:t>四、绿色发展</w:t>
            </w:r>
          </w:p>
        </w:tc>
      </w:tr>
      <w:tr w14:paraId="7119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8" w:type="dxa"/>
            <w:vAlign w:val="center"/>
          </w:tcPr>
          <w:p w14:paraId="2AD19AD2">
            <w:pPr>
              <w:jc w:val="center"/>
              <w:rPr>
                <w:sz w:val="20"/>
                <w:szCs w:val="20"/>
              </w:rPr>
            </w:pPr>
            <w:r>
              <w:rPr>
                <w:rFonts w:hint="eastAsia"/>
                <w:sz w:val="20"/>
                <w:szCs w:val="20"/>
              </w:rPr>
              <w:t>18</w:t>
            </w:r>
          </w:p>
        </w:tc>
        <w:tc>
          <w:tcPr>
            <w:tcW w:w="3823" w:type="dxa"/>
          </w:tcPr>
          <w:p w14:paraId="1732D920">
            <w:pPr>
              <w:rPr>
                <w:sz w:val="20"/>
                <w:szCs w:val="20"/>
              </w:rPr>
            </w:pPr>
            <w:r>
              <w:rPr>
                <w:rFonts w:hint="eastAsia"/>
                <w:sz w:val="20"/>
                <w:szCs w:val="20"/>
              </w:rPr>
              <w:t>单位</w:t>
            </w:r>
            <w:r>
              <w:rPr>
                <w:sz w:val="20"/>
                <w:szCs w:val="20"/>
              </w:rPr>
              <w:t>GDP</w:t>
            </w:r>
            <w:r>
              <w:rPr>
                <w:rFonts w:hint="eastAsia"/>
                <w:sz w:val="20"/>
                <w:szCs w:val="20"/>
              </w:rPr>
              <w:t>能耗降幅（</w:t>
            </w:r>
            <w:r>
              <w:rPr>
                <w:sz w:val="20"/>
                <w:szCs w:val="20"/>
              </w:rPr>
              <w:t>%</w:t>
            </w:r>
            <w:r>
              <w:rPr>
                <w:rFonts w:hint="eastAsia"/>
                <w:sz w:val="20"/>
                <w:szCs w:val="20"/>
              </w:rPr>
              <w:t>）</w:t>
            </w:r>
          </w:p>
        </w:tc>
        <w:tc>
          <w:tcPr>
            <w:tcW w:w="1134" w:type="dxa"/>
            <w:vAlign w:val="center"/>
          </w:tcPr>
          <w:p w14:paraId="79C09267">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完成市下达目标任务</w:t>
            </w:r>
          </w:p>
        </w:tc>
        <w:tc>
          <w:tcPr>
            <w:tcW w:w="2268" w:type="dxa"/>
            <w:gridSpan w:val="2"/>
          </w:tcPr>
          <w:p w14:paraId="7E9FD030">
            <w:pPr>
              <w:jc w:val="center"/>
              <w:rPr>
                <w:sz w:val="20"/>
                <w:szCs w:val="20"/>
              </w:rPr>
            </w:pPr>
            <w:r>
              <w:rPr>
                <w:rFonts w:hint="eastAsia"/>
                <w:sz w:val="20"/>
                <w:szCs w:val="20"/>
              </w:rPr>
              <w:t>以市下达目标为准</w:t>
            </w:r>
          </w:p>
        </w:tc>
        <w:tc>
          <w:tcPr>
            <w:tcW w:w="993" w:type="dxa"/>
            <w:vAlign w:val="center"/>
          </w:tcPr>
          <w:p w14:paraId="3BCE256C">
            <w:pPr>
              <w:jc w:val="center"/>
              <w:rPr>
                <w:sz w:val="20"/>
                <w:szCs w:val="20"/>
              </w:rPr>
            </w:pPr>
            <w:r>
              <w:rPr>
                <w:rFonts w:hint="eastAsia"/>
                <w:sz w:val="20"/>
                <w:szCs w:val="20"/>
              </w:rPr>
              <w:t>约束性</w:t>
            </w:r>
          </w:p>
        </w:tc>
        <w:tc>
          <w:tcPr>
            <w:tcW w:w="1101" w:type="dxa"/>
            <w:vAlign w:val="center"/>
          </w:tcPr>
          <w:p w14:paraId="105E915D">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4212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exact"/>
        </w:trPr>
        <w:tc>
          <w:tcPr>
            <w:tcW w:w="708" w:type="dxa"/>
            <w:vAlign w:val="center"/>
          </w:tcPr>
          <w:p w14:paraId="4F752DD3">
            <w:pPr>
              <w:jc w:val="center"/>
              <w:rPr>
                <w:sz w:val="20"/>
                <w:szCs w:val="20"/>
              </w:rPr>
            </w:pPr>
            <w:r>
              <w:rPr>
                <w:rFonts w:hint="eastAsia"/>
                <w:sz w:val="20"/>
                <w:szCs w:val="20"/>
              </w:rPr>
              <w:t>19</w:t>
            </w:r>
          </w:p>
        </w:tc>
        <w:tc>
          <w:tcPr>
            <w:tcW w:w="3823" w:type="dxa"/>
          </w:tcPr>
          <w:p w14:paraId="463983A6">
            <w:pPr>
              <w:rPr>
                <w:sz w:val="20"/>
                <w:szCs w:val="20"/>
              </w:rPr>
            </w:pPr>
            <w:r>
              <w:rPr>
                <w:rFonts w:hint="eastAsia"/>
                <w:sz w:val="20"/>
                <w:szCs w:val="20"/>
              </w:rPr>
              <w:t>单位</w:t>
            </w:r>
            <w:r>
              <w:rPr>
                <w:sz w:val="20"/>
                <w:szCs w:val="20"/>
              </w:rPr>
              <w:t>GDP</w:t>
            </w:r>
            <w:r>
              <w:rPr>
                <w:rFonts w:hint="eastAsia"/>
                <w:sz w:val="20"/>
                <w:szCs w:val="20"/>
              </w:rPr>
              <w:t>二氧化碳排放降低（</w:t>
            </w:r>
            <w:r>
              <w:rPr>
                <w:sz w:val="20"/>
                <w:szCs w:val="20"/>
              </w:rPr>
              <w:t>%</w:t>
            </w:r>
            <w:r>
              <w:rPr>
                <w:rFonts w:hint="eastAsia"/>
                <w:sz w:val="20"/>
                <w:szCs w:val="20"/>
              </w:rPr>
              <w:t>）</w:t>
            </w:r>
          </w:p>
        </w:tc>
        <w:tc>
          <w:tcPr>
            <w:tcW w:w="1134" w:type="dxa"/>
            <w:vAlign w:val="center"/>
          </w:tcPr>
          <w:p w14:paraId="16794C3E">
            <w:pPr>
              <w:adjustRightInd w:val="0"/>
              <w:snapToGrid w:val="0"/>
              <w:jc w:val="center"/>
              <w:rPr>
                <w:rFonts w:ascii="宋体" w:hAnsi="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olor w:val="0D0D0D" w:themeColor="text1" w:themeTint="F2"/>
                <w:kern w:val="0"/>
                <w:sz w:val="18"/>
                <w:szCs w:val="18"/>
                <w14:textFill>
                  <w14:solidFill>
                    <w14:schemeClr w14:val="tx1">
                      <w14:lumMod w14:val="95000"/>
                      <w14:lumOff w14:val="5000"/>
                    </w14:schemeClr>
                  </w14:solidFill>
                </w14:textFill>
              </w:rPr>
              <w:t>完成市下达目标任务</w:t>
            </w:r>
          </w:p>
        </w:tc>
        <w:tc>
          <w:tcPr>
            <w:tcW w:w="2268" w:type="dxa"/>
            <w:gridSpan w:val="2"/>
          </w:tcPr>
          <w:p w14:paraId="7E8581F6">
            <w:pPr>
              <w:jc w:val="center"/>
              <w:rPr>
                <w:sz w:val="20"/>
                <w:szCs w:val="20"/>
              </w:rPr>
            </w:pPr>
            <w:r>
              <w:rPr>
                <w:rFonts w:hint="eastAsia"/>
                <w:sz w:val="20"/>
                <w:szCs w:val="20"/>
              </w:rPr>
              <w:t>以市下达目标为准</w:t>
            </w:r>
          </w:p>
        </w:tc>
        <w:tc>
          <w:tcPr>
            <w:tcW w:w="993" w:type="dxa"/>
            <w:vAlign w:val="center"/>
          </w:tcPr>
          <w:p w14:paraId="3D321A3B">
            <w:pPr>
              <w:jc w:val="center"/>
              <w:rPr>
                <w:sz w:val="20"/>
                <w:szCs w:val="20"/>
              </w:rPr>
            </w:pPr>
            <w:r>
              <w:rPr>
                <w:rFonts w:hint="eastAsia"/>
                <w:sz w:val="20"/>
                <w:szCs w:val="20"/>
              </w:rPr>
              <w:t>约束性</w:t>
            </w:r>
          </w:p>
        </w:tc>
        <w:tc>
          <w:tcPr>
            <w:tcW w:w="1101" w:type="dxa"/>
            <w:vAlign w:val="center"/>
          </w:tcPr>
          <w:p w14:paraId="1520627C">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3B65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08" w:type="dxa"/>
            <w:vAlign w:val="center"/>
          </w:tcPr>
          <w:p w14:paraId="7E705107">
            <w:pPr>
              <w:jc w:val="center"/>
              <w:rPr>
                <w:sz w:val="20"/>
                <w:szCs w:val="20"/>
              </w:rPr>
            </w:pPr>
            <w:r>
              <w:rPr>
                <w:rFonts w:hint="eastAsia"/>
                <w:sz w:val="20"/>
                <w:szCs w:val="20"/>
              </w:rPr>
              <w:t>20</w:t>
            </w:r>
          </w:p>
        </w:tc>
        <w:tc>
          <w:tcPr>
            <w:tcW w:w="3823" w:type="dxa"/>
          </w:tcPr>
          <w:p w14:paraId="2F5E4B3B">
            <w:pPr>
              <w:rPr>
                <w:sz w:val="20"/>
                <w:szCs w:val="20"/>
              </w:rPr>
            </w:pPr>
            <w:r>
              <w:rPr>
                <w:rFonts w:hint="eastAsia"/>
                <w:sz w:val="20"/>
                <w:szCs w:val="20"/>
              </w:rPr>
              <w:t>达到或优于Ⅲ类水体占地表水比例（</w:t>
            </w:r>
            <w:r>
              <w:rPr>
                <w:sz w:val="20"/>
                <w:szCs w:val="20"/>
              </w:rPr>
              <w:t>%</w:t>
            </w:r>
            <w:r>
              <w:rPr>
                <w:rFonts w:hint="eastAsia"/>
                <w:sz w:val="20"/>
                <w:szCs w:val="20"/>
              </w:rPr>
              <w:t>）</w:t>
            </w:r>
          </w:p>
        </w:tc>
        <w:tc>
          <w:tcPr>
            <w:tcW w:w="1134" w:type="dxa"/>
          </w:tcPr>
          <w:p w14:paraId="4E74578A">
            <w:pPr>
              <w:jc w:val="center"/>
              <w:rPr>
                <w:rFonts w:ascii="宋体" w:hAnsi="宋体" w:eastAsia="宋体"/>
                <w:sz w:val="20"/>
                <w:szCs w:val="20"/>
              </w:rPr>
            </w:pPr>
            <w:r>
              <w:rPr>
                <w:rFonts w:hint="eastAsia" w:ascii="宋体" w:hAnsi="宋体" w:eastAsia="宋体"/>
                <w:sz w:val="20"/>
                <w:szCs w:val="20"/>
              </w:rPr>
              <w:t>66.7</w:t>
            </w:r>
          </w:p>
        </w:tc>
        <w:tc>
          <w:tcPr>
            <w:tcW w:w="2268" w:type="dxa"/>
            <w:gridSpan w:val="2"/>
          </w:tcPr>
          <w:p w14:paraId="179012F3">
            <w:pPr>
              <w:jc w:val="center"/>
              <w:rPr>
                <w:sz w:val="20"/>
                <w:szCs w:val="20"/>
              </w:rPr>
            </w:pPr>
            <w:r>
              <w:rPr>
                <w:rFonts w:hint="eastAsia"/>
                <w:sz w:val="20"/>
                <w:szCs w:val="20"/>
              </w:rPr>
              <w:t>以市下达目标为准</w:t>
            </w:r>
          </w:p>
        </w:tc>
        <w:tc>
          <w:tcPr>
            <w:tcW w:w="993" w:type="dxa"/>
            <w:vAlign w:val="center"/>
          </w:tcPr>
          <w:p w14:paraId="64D9033E">
            <w:pPr>
              <w:jc w:val="center"/>
              <w:rPr>
                <w:sz w:val="20"/>
                <w:szCs w:val="20"/>
              </w:rPr>
            </w:pPr>
            <w:r>
              <w:rPr>
                <w:rFonts w:hint="eastAsia"/>
                <w:sz w:val="20"/>
                <w:szCs w:val="20"/>
              </w:rPr>
              <w:t>约束性</w:t>
            </w:r>
          </w:p>
        </w:tc>
        <w:tc>
          <w:tcPr>
            <w:tcW w:w="1101" w:type="dxa"/>
            <w:vAlign w:val="center"/>
          </w:tcPr>
          <w:p w14:paraId="45A7F09E">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5737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708" w:type="dxa"/>
            <w:vAlign w:val="center"/>
          </w:tcPr>
          <w:p w14:paraId="086DD59D">
            <w:pPr>
              <w:jc w:val="center"/>
              <w:rPr>
                <w:sz w:val="20"/>
                <w:szCs w:val="20"/>
              </w:rPr>
            </w:pPr>
            <w:r>
              <w:rPr>
                <w:rFonts w:hint="eastAsia"/>
                <w:sz w:val="20"/>
                <w:szCs w:val="20"/>
              </w:rPr>
              <w:t>21</w:t>
            </w:r>
          </w:p>
        </w:tc>
        <w:tc>
          <w:tcPr>
            <w:tcW w:w="3823" w:type="dxa"/>
            <w:vAlign w:val="center"/>
          </w:tcPr>
          <w:p w14:paraId="2C9A49A6">
            <w:pPr>
              <w:rPr>
                <w:sz w:val="20"/>
                <w:szCs w:val="20"/>
              </w:rPr>
            </w:pPr>
            <w:r>
              <w:rPr>
                <w:rFonts w:hint="eastAsia"/>
                <w:sz w:val="20"/>
                <w:szCs w:val="20"/>
              </w:rPr>
              <w:t>森林覆盖率（</w:t>
            </w:r>
            <w:r>
              <w:rPr>
                <w:sz w:val="20"/>
                <w:szCs w:val="20"/>
              </w:rPr>
              <w:t>%</w:t>
            </w:r>
            <w:r>
              <w:rPr>
                <w:rFonts w:hint="eastAsia"/>
                <w:sz w:val="20"/>
                <w:szCs w:val="20"/>
              </w:rPr>
              <w:t>）</w:t>
            </w:r>
          </w:p>
        </w:tc>
        <w:tc>
          <w:tcPr>
            <w:tcW w:w="1134" w:type="dxa"/>
          </w:tcPr>
          <w:p w14:paraId="7981A27D">
            <w:pPr>
              <w:jc w:val="center"/>
              <w:rPr>
                <w:rFonts w:ascii="宋体" w:hAnsi="宋体" w:eastAsia="宋体"/>
                <w:sz w:val="20"/>
                <w:szCs w:val="20"/>
              </w:rPr>
            </w:pPr>
            <w:r>
              <w:rPr>
                <w:rFonts w:hint="eastAsia" w:ascii="宋体" w:hAnsi="宋体" w:eastAsia="宋体"/>
                <w:sz w:val="20"/>
                <w:szCs w:val="20"/>
              </w:rPr>
              <w:t>67.65</w:t>
            </w:r>
          </w:p>
        </w:tc>
        <w:tc>
          <w:tcPr>
            <w:tcW w:w="2268" w:type="dxa"/>
            <w:gridSpan w:val="2"/>
          </w:tcPr>
          <w:p w14:paraId="586FFB29">
            <w:pPr>
              <w:jc w:val="center"/>
              <w:rPr>
                <w:sz w:val="20"/>
                <w:szCs w:val="20"/>
              </w:rPr>
            </w:pPr>
            <w:r>
              <w:rPr>
                <w:rFonts w:hint="eastAsia"/>
                <w:sz w:val="20"/>
                <w:szCs w:val="20"/>
              </w:rPr>
              <w:t>以市下达目标为准</w:t>
            </w:r>
          </w:p>
        </w:tc>
        <w:tc>
          <w:tcPr>
            <w:tcW w:w="993" w:type="dxa"/>
            <w:vAlign w:val="center"/>
          </w:tcPr>
          <w:p w14:paraId="5130A843">
            <w:pPr>
              <w:jc w:val="center"/>
              <w:rPr>
                <w:sz w:val="20"/>
                <w:szCs w:val="20"/>
              </w:rPr>
            </w:pPr>
            <w:r>
              <w:rPr>
                <w:rFonts w:hint="eastAsia"/>
                <w:sz w:val="20"/>
                <w:szCs w:val="20"/>
              </w:rPr>
              <w:t>约束性</w:t>
            </w:r>
          </w:p>
        </w:tc>
        <w:tc>
          <w:tcPr>
            <w:tcW w:w="1101" w:type="dxa"/>
            <w:vAlign w:val="center"/>
          </w:tcPr>
          <w:p w14:paraId="4A7D2734">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679E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27" w:type="dxa"/>
            <w:gridSpan w:val="7"/>
          </w:tcPr>
          <w:p w14:paraId="6E53A4DA">
            <w:pPr>
              <w:rPr>
                <w:b/>
                <w:sz w:val="20"/>
                <w:szCs w:val="20"/>
              </w:rPr>
            </w:pPr>
            <w:r>
              <w:rPr>
                <w:rFonts w:hint="eastAsia"/>
                <w:b/>
                <w:sz w:val="20"/>
                <w:szCs w:val="20"/>
              </w:rPr>
              <w:t>五、安全保障</w:t>
            </w:r>
          </w:p>
        </w:tc>
      </w:tr>
      <w:tr w14:paraId="2915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08" w:type="dxa"/>
            <w:vAlign w:val="center"/>
          </w:tcPr>
          <w:p w14:paraId="5E826CA5">
            <w:pPr>
              <w:jc w:val="center"/>
              <w:rPr>
                <w:sz w:val="20"/>
                <w:szCs w:val="20"/>
              </w:rPr>
            </w:pPr>
            <w:r>
              <w:rPr>
                <w:rFonts w:hint="eastAsia"/>
                <w:sz w:val="20"/>
                <w:szCs w:val="20"/>
              </w:rPr>
              <w:t>22</w:t>
            </w:r>
          </w:p>
        </w:tc>
        <w:tc>
          <w:tcPr>
            <w:tcW w:w="3823" w:type="dxa"/>
            <w:vAlign w:val="center"/>
          </w:tcPr>
          <w:p w14:paraId="4CF3471A">
            <w:pPr>
              <w:rPr>
                <w:sz w:val="20"/>
                <w:szCs w:val="20"/>
              </w:rPr>
            </w:pPr>
            <w:r>
              <w:rPr>
                <w:rFonts w:hint="eastAsia"/>
                <w:sz w:val="20"/>
                <w:szCs w:val="20"/>
              </w:rPr>
              <w:t>粮食总产量（万吨）</w:t>
            </w:r>
          </w:p>
        </w:tc>
        <w:tc>
          <w:tcPr>
            <w:tcW w:w="1134" w:type="dxa"/>
            <w:vAlign w:val="center"/>
          </w:tcPr>
          <w:p w14:paraId="48250AD4">
            <w:pPr>
              <w:jc w:val="center"/>
              <w:rPr>
                <w:rFonts w:ascii="宋体" w:hAnsi="宋体" w:eastAsia="宋体"/>
                <w:sz w:val="20"/>
                <w:szCs w:val="20"/>
              </w:rPr>
            </w:pPr>
            <w:r>
              <w:rPr>
                <w:rFonts w:hint="eastAsia" w:ascii="宋体" w:hAnsi="宋体" w:eastAsia="宋体"/>
                <w:sz w:val="20"/>
                <w:szCs w:val="20"/>
              </w:rPr>
              <w:t>4.9</w:t>
            </w:r>
          </w:p>
        </w:tc>
        <w:tc>
          <w:tcPr>
            <w:tcW w:w="2268" w:type="dxa"/>
            <w:gridSpan w:val="2"/>
          </w:tcPr>
          <w:p w14:paraId="38B5B26B">
            <w:pPr>
              <w:jc w:val="center"/>
              <w:rPr>
                <w:rFonts w:ascii="宋体" w:hAnsi="宋体" w:eastAsia="宋体"/>
                <w:sz w:val="20"/>
                <w:szCs w:val="20"/>
              </w:rPr>
            </w:pPr>
            <w:r>
              <w:rPr>
                <w:rFonts w:hint="eastAsia"/>
                <w:sz w:val="20"/>
                <w:szCs w:val="20"/>
              </w:rPr>
              <w:t>以市下达目标为准</w:t>
            </w:r>
          </w:p>
        </w:tc>
        <w:tc>
          <w:tcPr>
            <w:tcW w:w="993" w:type="dxa"/>
            <w:vAlign w:val="center"/>
          </w:tcPr>
          <w:p w14:paraId="4AC8EB6F">
            <w:pPr>
              <w:jc w:val="center"/>
              <w:rPr>
                <w:sz w:val="20"/>
                <w:szCs w:val="20"/>
              </w:rPr>
            </w:pPr>
            <w:r>
              <w:rPr>
                <w:rFonts w:hint="eastAsia"/>
                <w:sz w:val="20"/>
                <w:szCs w:val="20"/>
              </w:rPr>
              <w:t>约束性</w:t>
            </w:r>
          </w:p>
        </w:tc>
        <w:tc>
          <w:tcPr>
            <w:tcW w:w="1101" w:type="dxa"/>
            <w:vAlign w:val="center"/>
          </w:tcPr>
          <w:p w14:paraId="3F683E85">
            <w:pPr>
              <w:adjustRightInd w:val="0"/>
              <w:snapToGrid w:val="0"/>
              <w:spacing w:line="600" w:lineRule="exact"/>
              <w:jc w:val="center"/>
              <w:rPr>
                <w:rFonts w:ascii="宋体" w:hAnsi="宋体"/>
                <w:color w:val="0D0D0D" w:themeColor="text1" w:themeTint="F2"/>
                <w:kern w:val="0"/>
                <w:sz w:val="20"/>
                <w:szCs w:val="20"/>
                <w14:textFill>
                  <w14:solidFill>
                    <w14:schemeClr w14:val="tx1">
                      <w14:lumMod w14:val="95000"/>
                      <w14:lumOff w14:val="5000"/>
                    </w14:schemeClr>
                  </w14:solidFill>
                </w14:textFill>
              </w:rPr>
            </w:pPr>
          </w:p>
        </w:tc>
      </w:tr>
      <w:tr w14:paraId="61FF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708" w:type="dxa"/>
          </w:tcPr>
          <w:p w14:paraId="3977F5CC">
            <w:pPr>
              <w:jc w:val="center"/>
              <w:rPr>
                <w:sz w:val="20"/>
                <w:szCs w:val="20"/>
              </w:rPr>
            </w:pPr>
            <w:r>
              <w:rPr>
                <w:rFonts w:hint="eastAsia"/>
                <w:sz w:val="20"/>
                <w:szCs w:val="20"/>
              </w:rPr>
              <w:t>23</w:t>
            </w:r>
          </w:p>
        </w:tc>
        <w:tc>
          <w:tcPr>
            <w:tcW w:w="3823" w:type="dxa"/>
          </w:tcPr>
          <w:p w14:paraId="4915EA19">
            <w:pPr>
              <w:rPr>
                <w:sz w:val="20"/>
                <w:szCs w:val="20"/>
              </w:rPr>
            </w:pPr>
            <w:r>
              <w:rPr>
                <w:rFonts w:hint="eastAsia"/>
                <w:sz w:val="20"/>
                <w:szCs w:val="20"/>
              </w:rPr>
              <w:t>能源综合生产能力（万吨标准煤）</w:t>
            </w:r>
          </w:p>
        </w:tc>
        <w:tc>
          <w:tcPr>
            <w:tcW w:w="1134" w:type="dxa"/>
          </w:tcPr>
          <w:p w14:paraId="54B586A1">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14:paraId="1DE2BCD4">
            <w:pPr>
              <w:adjustRightInd w:val="0"/>
              <w:snapToGrid w:val="0"/>
              <w:jc w:val="center"/>
              <w:rPr>
                <w:rFonts w:ascii="宋体" w:hAnsi="宋体"/>
                <w:color w:val="0D0D0D" w:themeColor="text1" w:themeTint="F2"/>
                <w:kern w:val="0"/>
                <w:sz w:val="20"/>
                <w:szCs w:val="20"/>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0"/>
                <w:szCs w:val="20"/>
                <w14:textFill>
                  <w14:solidFill>
                    <w14:schemeClr w14:val="tx1">
                      <w14:lumMod w14:val="95000"/>
                      <w14:lumOff w14:val="5000"/>
                    </w14:schemeClr>
                  </w14:solidFill>
                </w14:textFill>
              </w:rPr>
              <w:t>区内暂无核算</w:t>
            </w:r>
          </w:p>
        </w:tc>
        <w:tc>
          <w:tcPr>
            <w:tcW w:w="1275" w:type="dxa"/>
          </w:tcPr>
          <w:p w14:paraId="4AD2E940">
            <w:pPr>
              <w:jc w:val="center"/>
              <w:rPr>
                <w:rFonts w:ascii="宋体" w:hAnsi="宋体" w:eastAsia="宋体"/>
                <w:sz w:val="20"/>
                <w:szCs w:val="20"/>
              </w:rPr>
            </w:pPr>
            <w:r>
              <w:rPr>
                <w:rFonts w:hint="eastAsia" w:ascii="宋体" w:hAnsi="宋体" w:eastAsia="宋体"/>
                <w:sz w:val="20"/>
                <w:szCs w:val="20"/>
              </w:rPr>
              <w:t>-</w:t>
            </w:r>
          </w:p>
        </w:tc>
        <w:tc>
          <w:tcPr>
            <w:tcW w:w="993" w:type="dxa"/>
            <w:vAlign w:val="center"/>
          </w:tcPr>
          <w:p w14:paraId="2F7FE05A">
            <w:pPr>
              <w:jc w:val="center"/>
              <w:rPr>
                <w:sz w:val="20"/>
                <w:szCs w:val="20"/>
              </w:rPr>
            </w:pPr>
            <w:r>
              <w:rPr>
                <w:rFonts w:hint="eastAsia"/>
                <w:sz w:val="20"/>
                <w:szCs w:val="20"/>
              </w:rPr>
              <w:t>预期性</w:t>
            </w:r>
          </w:p>
        </w:tc>
        <w:tc>
          <w:tcPr>
            <w:tcW w:w="1101" w:type="dxa"/>
            <w:vAlign w:val="center"/>
          </w:tcPr>
          <w:p w14:paraId="189820F9">
            <w:pPr>
              <w:adjustRightInd w:val="0"/>
              <w:snapToGrid w:val="0"/>
              <w:spacing w:line="600" w:lineRule="exact"/>
              <w:jc w:val="center"/>
              <w:rPr>
                <w:rFonts w:ascii="宋体" w:hAnsi="宋体" w:cs="仿宋_GB2312"/>
                <w:color w:val="0D0D0D" w:themeColor="text1" w:themeTint="F2"/>
                <w:kern w:val="0"/>
                <w:sz w:val="20"/>
                <w:szCs w:val="20"/>
                <w14:textFill>
                  <w14:solidFill>
                    <w14:schemeClr w14:val="tx1">
                      <w14:lumMod w14:val="95000"/>
                      <w14:lumOff w14:val="5000"/>
                    </w14:schemeClr>
                  </w14:solidFill>
                </w14:textFill>
              </w:rPr>
            </w:pPr>
          </w:p>
        </w:tc>
      </w:tr>
    </w:tbl>
    <w:p w14:paraId="5FDD987A">
      <w:pPr>
        <w:pStyle w:val="17"/>
        <w:adjustRightInd w:val="0"/>
        <w:snapToGrid w:val="0"/>
        <w:spacing w:after="0" w:line="400" w:lineRule="exact"/>
        <w:ind w:left="-566" w:leftChars="-177" w:firstLine="0" w:firstLineChars="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注：1.[]内为累计数。</w:t>
      </w:r>
    </w:p>
    <w:p w14:paraId="300C2565">
      <w:pPr>
        <w:pStyle w:val="17"/>
        <w:adjustRightInd w:val="0"/>
        <w:snapToGrid w:val="0"/>
        <w:spacing w:after="0" w:line="400" w:lineRule="exact"/>
        <w:ind w:left="-566" w:leftChars="-177" w:firstLine="48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2.地区生产总值、全员劳动生产率、居民人均可支配收入增长速度为实际增速。</w:t>
      </w:r>
    </w:p>
    <w:p w14:paraId="19FA780E">
      <w:pPr>
        <w:pStyle w:val="17"/>
        <w:adjustRightInd w:val="0"/>
        <w:snapToGrid w:val="0"/>
        <w:spacing w:after="0" w:line="400" w:lineRule="exact"/>
        <w:ind w:left="-566" w:leftChars="-177" w:firstLine="48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3.全国第七次人口普查结果尚未公布，对应的全员劳动生产率、常住人口城镇化率、劳动年龄人口平均受教育年限为预计数。</w:t>
      </w:r>
    </w:p>
    <w:p w14:paraId="3B9469AC">
      <w:pPr>
        <w:pStyle w:val="17"/>
        <w:adjustRightInd w:val="0"/>
        <w:snapToGrid w:val="0"/>
        <w:spacing w:after="0" w:line="400" w:lineRule="exact"/>
        <w:ind w:left="-566" w:leftChars="-177" w:firstLine="480"/>
        <w:jc w:val="left"/>
        <w:rPr>
          <w:rFonts w:ascii="宋体" w:hAnsi="宋体"/>
          <w:color w:val="0D0D0D" w:themeColor="text1" w:themeTint="F2"/>
          <w:sz w:val="24"/>
          <w14:textFill>
            <w14:solidFill>
              <w14:schemeClr w14:val="tx1">
                <w14:lumMod w14:val="95000"/>
                <w14:lumOff w14:val="5000"/>
              </w14:schemeClr>
            </w14:solidFill>
          </w14:textFill>
        </w:rPr>
      </w:pPr>
      <w:r>
        <w:rPr>
          <w:rFonts w:ascii="宋体" w:hAnsi="宋体"/>
          <w:color w:val="0D0D0D" w:themeColor="text1" w:themeTint="F2"/>
          <w:sz w:val="24"/>
          <w14:textFill>
            <w14:solidFill>
              <w14:schemeClr w14:val="tx1">
                <w14:lumMod w14:val="95000"/>
                <w14:lumOff w14:val="5000"/>
              </w14:schemeClr>
            </w14:solidFill>
          </w14:textFill>
        </w:rPr>
        <w:t>4</w:t>
      </w:r>
      <w:r>
        <w:rPr>
          <w:rFonts w:hint="eastAsia" w:ascii="宋体" w:hAnsi="宋体"/>
          <w:color w:val="0D0D0D" w:themeColor="text1" w:themeTint="F2"/>
          <w:sz w:val="24"/>
          <w14:textFill>
            <w14:solidFill>
              <w14:schemeClr w14:val="tx1">
                <w14:lumMod w14:val="95000"/>
                <w14:lumOff w14:val="5000"/>
              </w14:schemeClr>
            </w14:solidFill>
          </w14:textFill>
        </w:rPr>
        <w:t>.“-”代表暂无相关数据或数据不公开。</w:t>
      </w:r>
    </w:p>
    <w:bookmarkEnd w:id="0"/>
    <w:p w14:paraId="044C9362">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35" w:name="_Toc14174"/>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第三章 全面提升创新能力，培育壮大发展新动能</w:t>
      </w:r>
      <w:bookmarkEnd w:id="35"/>
    </w:p>
    <w:p w14:paraId="6293CCFE">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坚持创新在现代化建设全局中的核心地位，深入实施创新驱动发展战略，把创新作为引领发展的第一动力，以科技创新带动高质量发展。</w:t>
      </w:r>
    </w:p>
    <w:p w14:paraId="13EA73C3">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6" w:name="_Toc62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构建多元化创新平台</w:t>
      </w:r>
      <w:bookmarkEnd w:id="36"/>
    </w:p>
    <w:p w14:paraId="518948D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加快创新平台建设。</w:t>
      </w:r>
      <w:r>
        <w:rPr>
          <w:rFonts w:hint="eastAsia" w:ascii="宋体" w:hAnsi="宋体"/>
          <w:color w:val="0D0D0D" w:themeColor="text1" w:themeTint="F2"/>
          <w:szCs w:val="32"/>
          <w14:textFill>
            <w14:solidFill>
              <w14:schemeClr w14:val="tx1">
                <w14:lumMod w14:val="95000"/>
                <w14:lumOff w14:val="5000"/>
              </w14:schemeClr>
            </w14:solidFill>
          </w14:textFill>
        </w:rPr>
        <w:t>加快金属智造研发交流，加强金属智造技术攻关，确保金属智造产业绿色发展。大力支持新型研发机构和工程技术中心等创新平台建设，充分发挥云浮中科石材创新中心等平台作用。引导石材产业从生产加工向工艺创新、石材装饰拓展，推动石材装备智能化、节能化、信息化研究。加大对南药产业的全产业链的研发应用，加强与省中医药研究所等研究机构合作，建立南药创新平台和南药实验室。高标准规划农业科技园区，加强与华南农业大学等院校合作共建，加快推动云浮市南药研究院和云浮市花卉产业技术研究院等建设，促进对南药、花卉产业技术攻关，加速技术成果转化，建设“立足云城、面向云浮、辐射全省”的新型研发机构。</w:t>
      </w:r>
    </w:p>
    <w:p w14:paraId="0AECB06F">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加快构建科技孵化体系。</w:t>
      </w:r>
      <w:r>
        <w:rPr>
          <w:rFonts w:hint="eastAsia" w:ascii="宋体" w:hAnsi="宋体"/>
          <w:color w:val="0D0D0D" w:themeColor="text1" w:themeTint="F2"/>
          <w:szCs w:val="32"/>
          <w14:textFill>
            <w14:solidFill>
              <w14:schemeClr w14:val="tx1">
                <w14:lumMod w14:val="95000"/>
                <w14:lumOff w14:val="5000"/>
              </w14:schemeClr>
            </w14:solidFill>
          </w14:textFill>
        </w:rPr>
        <w:t>鼓励社会力量规划建设小企业创业基地和创业孵化基地，打造“创业苗圃(前孵化器)+孵化器+加速器+产业园”的全孵化链条，形成从项目初选到产业化发展的全链条一体化创业孵化服务体系。创新投入机制，引导社会资源和市场资本参与，支持与高校和科研院所、企业合作经营的模式，鼓励混合所有制和民营科技企业孵化器发展。</w:t>
      </w:r>
    </w:p>
    <w:p w14:paraId="483DDC9D">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构建创新创业生态圈。</w:t>
      </w:r>
      <w:r>
        <w:rPr>
          <w:rFonts w:hint="eastAsia" w:ascii="宋体" w:hAnsi="宋体"/>
          <w:color w:val="0D0D0D" w:themeColor="text1" w:themeTint="F2"/>
          <w:szCs w:val="32"/>
          <w14:textFill>
            <w14:solidFill>
              <w14:schemeClr w14:val="tx1">
                <w14:lumMod w14:val="95000"/>
                <w14:lumOff w14:val="5000"/>
              </w14:schemeClr>
            </w14:solidFill>
          </w14:textFill>
        </w:rPr>
        <w:t>鼓励支持创新大众化，构建线上线下相结合、面向大众的“众创空间”服务平台，大力发展众创、众包、众扶、众筹空间，形成开放的网络创新创业生态圈。加强科技创新服务供给，加快推进万洋众创城、广东云浮工业园创业创新中心项目建设，培育创新意识和创业文化，鼓励“草根创新”、微创新、微创业。</w:t>
      </w:r>
    </w:p>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14:paraId="0E43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19" w:type="dxa"/>
            <w:vAlign w:val="center"/>
          </w:tcPr>
          <w:p w14:paraId="04805BC0">
            <w:pPr>
              <w:adjustRightInd w:val="0"/>
              <w:snapToGrid w:val="0"/>
              <w:jc w:val="center"/>
              <w:rPr>
                <w:rFonts w:ascii="黑体" w:hAnsi="黑体" w:eastAsia="黑体"/>
                <w:b/>
                <w:bCs/>
                <w:color w:val="0D0D0D" w:themeColor="text1" w:themeTint="F2"/>
                <w:sz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14:textFill>
                  <w14:solidFill>
                    <w14:schemeClr w14:val="tx1">
                      <w14:lumMod w14:val="95000"/>
                      <w14:lumOff w14:val="5000"/>
                    </w14:schemeClr>
                  </w14:solidFill>
                </w14:textFill>
              </w:rPr>
              <w:t>专栏</w:t>
            </w:r>
            <w:r>
              <w:rPr>
                <w:rFonts w:ascii="黑体" w:hAnsi="黑体" w:eastAsia="黑体"/>
                <w:color w:val="0D0D0D" w:themeColor="text1" w:themeTint="F2"/>
                <w:sz w:val="24"/>
                <w14:textFill>
                  <w14:solidFill>
                    <w14:schemeClr w14:val="tx1">
                      <w14:lumMod w14:val="95000"/>
                      <w14:lumOff w14:val="5000"/>
                    </w14:schemeClr>
                  </w14:solidFill>
                </w14:textFill>
              </w:rPr>
              <w:t>1</w:t>
            </w:r>
            <w:r>
              <w:rPr>
                <w:rFonts w:hint="eastAsia" w:ascii="黑体" w:hAnsi="黑体" w:eastAsia="黑体"/>
                <w:color w:val="0D0D0D" w:themeColor="text1" w:themeTint="F2"/>
                <w:sz w:val="24"/>
                <w14:textFill>
                  <w14:solidFill>
                    <w14:schemeClr w14:val="tx1">
                      <w14:lumMod w14:val="95000"/>
                      <w14:lumOff w14:val="5000"/>
                    </w14:schemeClr>
                  </w14:solidFill>
                </w14:textFill>
              </w:rPr>
              <w:t>“十四五”时期我区科技创新平台重点部署</w:t>
            </w:r>
          </w:p>
        </w:tc>
      </w:tr>
      <w:tr w14:paraId="743D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5" w:hRule="atLeast"/>
        </w:trPr>
        <w:tc>
          <w:tcPr>
            <w:tcW w:w="10206" w:type="dxa"/>
            <w:vAlign w:val="center"/>
          </w:tcPr>
          <w:p w14:paraId="0A1D523A">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w:t>
            </w:r>
            <w:r>
              <w:rPr>
                <w:rFonts w:ascii="宋体" w:hAnsi="宋体" w:cs="楷体_GB2312"/>
                <w:b/>
                <w:bCs/>
                <w:color w:val="0D0D0D" w:themeColor="text1" w:themeTint="F2"/>
                <w:sz w:val="24"/>
                <w14:textFill>
                  <w14:solidFill>
                    <w14:schemeClr w14:val="tx1">
                      <w14:lumMod w14:val="95000"/>
                      <w14:lumOff w14:val="5000"/>
                    </w14:schemeClr>
                  </w14:solidFill>
                </w14:textFill>
              </w:rPr>
              <w:t>.</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南药研究院：</w:t>
            </w:r>
            <w:r>
              <w:rPr>
                <w:rFonts w:hint="eastAsia" w:ascii="宋体" w:hAnsi="宋体" w:cs="楷体_GB2312"/>
                <w:color w:val="0D0D0D" w:themeColor="text1" w:themeTint="F2"/>
                <w:sz w:val="24"/>
                <w14:textFill>
                  <w14:solidFill>
                    <w14:schemeClr w14:val="tx1">
                      <w14:lumMod w14:val="95000"/>
                      <w14:lumOff w14:val="5000"/>
                    </w14:schemeClr>
                  </w14:solidFill>
                </w14:textFill>
              </w:rPr>
              <w:t>鼓励企业与华南农业大学、国内知名科研机构和科技医药企业合作共建南药研究院，主要开展以南药为核心的创新中药研究，同时通过人工智能、大数据和互联网技术推动临床应用的创新。拓展南药未来在抗病毒、抗感染方面的创新研发空间。</w:t>
            </w:r>
          </w:p>
          <w:p w14:paraId="5B9A2B52">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w:t>
            </w:r>
            <w:r>
              <w:rPr>
                <w:rFonts w:ascii="宋体" w:hAnsi="宋体" w:cs="楷体_GB2312"/>
                <w:b/>
                <w:bCs/>
                <w:color w:val="0D0D0D" w:themeColor="text1" w:themeTint="F2"/>
                <w:sz w:val="24"/>
                <w14:textFill>
                  <w14:solidFill>
                    <w14:schemeClr w14:val="tx1">
                      <w14:lumMod w14:val="95000"/>
                      <w14:lumOff w14:val="5000"/>
                    </w14:schemeClr>
                  </w14:solidFill>
                </w14:textFill>
              </w:rPr>
              <w:t>.</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花卉研究院：</w:t>
            </w:r>
            <w:r>
              <w:rPr>
                <w:rFonts w:hint="eastAsia" w:ascii="宋体" w:hAnsi="宋体" w:cs="楷体_GB2312"/>
                <w:color w:val="0D0D0D" w:themeColor="text1" w:themeTint="F2"/>
                <w:sz w:val="24"/>
                <w14:textFill>
                  <w14:solidFill>
                    <w14:schemeClr w14:val="tx1">
                      <w14:lumMod w14:val="95000"/>
                      <w14:lumOff w14:val="5000"/>
                    </w14:schemeClr>
                  </w14:solidFill>
                </w14:textFill>
              </w:rPr>
              <w:t>围绕我国花卉产业和学科发展的重大需求，开展应用基础研究，创新重要的应用技术和基础理论，重点发展花卉品种研发、新技术推广、生产贸易和专业培训。</w:t>
            </w:r>
          </w:p>
          <w:p w14:paraId="51DD4CB4">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楷体_GB2312"/>
                <w:b/>
                <w:bCs/>
                <w:color w:val="0D0D0D" w:themeColor="text1" w:themeTint="F2"/>
                <w:sz w:val="24"/>
                <w14:textFill>
                  <w14:solidFill>
                    <w14:schemeClr w14:val="tx1">
                      <w14:lumMod w14:val="95000"/>
                      <w14:lumOff w14:val="5000"/>
                    </w14:schemeClr>
                  </w14:solidFill>
                </w14:textFill>
              </w:rPr>
              <w:t>3</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.广东云浮工业园创业创新中心：</w:t>
            </w:r>
            <w:r>
              <w:rPr>
                <w:rFonts w:hint="eastAsia" w:ascii="宋体" w:hAnsi="宋体" w:cs="仿宋_GB2312"/>
                <w:color w:val="0D0D0D" w:themeColor="text1" w:themeTint="F2"/>
                <w:sz w:val="24"/>
                <w14:textFill>
                  <w14:solidFill>
                    <w14:schemeClr w14:val="tx1">
                      <w14:lumMod w14:val="95000"/>
                      <w14:lumOff w14:val="5000"/>
                    </w14:schemeClr>
                  </w14:solidFill>
                </w14:textFill>
              </w:rPr>
              <w:t>建设生物医药企业孵化创新创业服务网络构建、评价及决策支撑综合服务平台，包括中医药研究中心，内含园区展示中心、中医药检测中心、孵化中心将科研成果转化为产品；新型电商中心等。</w:t>
            </w:r>
          </w:p>
          <w:p w14:paraId="6BE198EC">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楷体_GB2312"/>
                <w:b/>
                <w:bCs/>
                <w:color w:val="0D0D0D" w:themeColor="text1" w:themeTint="F2"/>
                <w:sz w:val="24"/>
                <w14:textFill>
                  <w14:solidFill>
                    <w14:schemeClr w14:val="tx1">
                      <w14:lumMod w14:val="95000"/>
                      <w14:lumOff w14:val="5000"/>
                    </w14:schemeClr>
                  </w14:solidFill>
                </w14:textFill>
              </w:rPr>
              <w:t>4</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.云浮（云城）万洋众创城项目：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建筑面积45.31万平方米，建设厂房、仓库、研发中心，办公楼、生产生活配套设施及其他配套设施等。商住项目建筑面积9.97万平方米，主要建设商业街、办公楼、生产生活配套设施等。</w:t>
            </w:r>
          </w:p>
        </w:tc>
      </w:tr>
    </w:tbl>
    <w:p w14:paraId="553A41B5">
      <w:pPr>
        <w:adjustRightInd w:val="0"/>
        <w:snapToGrid w:val="0"/>
        <w:spacing w:before="300" w:beforeLines="50" w:after="300" w:afterLines="50" w:line="76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7" w:name="_Toc2240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全力培育创新型企业</w:t>
      </w:r>
      <w:bookmarkEnd w:id="37"/>
    </w:p>
    <w:p w14:paraId="53DE23FA">
      <w:pPr>
        <w:spacing w:line="600" w:lineRule="exact"/>
        <w:ind w:firstLine="643" w:firstLineChars="200"/>
        <w:rPr>
          <w:rFonts w:ascii="宋体" w:hAnsi="宋体" w:cs="仿宋_GB2312"/>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强化科技型中小企业孵化培育。</w:t>
      </w:r>
      <w:r>
        <w:rPr>
          <w:rFonts w:hint="eastAsia" w:ascii="宋体" w:hAnsi="宋体"/>
          <w:color w:val="0D0D0D" w:themeColor="text1" w:themeTint="F2"/>
          <w:szCs w:val="32"/>
          <w14:textFill>
            <w14:solidFill>
              <w14:schemeClr w14:val="tx1">
                <w14:lumMod w14:val="95000"/>
                <w14:lumOff w14:val="5000"/>
              </w14:schemeClr>
            </w14:solidFill>
          </w14:textFill>
        </w:rPr>
        <w:t>发挥创新创业载体培育科技型中小微企业功能，引导各类科创载体向专业化、信息化、品牌化、链条化方向发展，以创业者需求为导向提升增值服务能力，建立从初创期、成长期到发展壮大期的全程跟踪服务机制，努力形成依托产业链上下游的中小企业集群，为企业梯度培育提供源头活水。搭建科技型中小企业服务中心，为科技型中小企业提供管理指导、技能培训、市场开拓、标准咨询、检验检测认证等服务。</w:t>
      </w:r>
      <w:r>
        <w:rPr>
          <w:rFonts w:hint="eastAsia" w:ascii="宋体" w:hAnsi="宋体" w:eastAsia="仿宋" w:cs="仿宋"/>
          <w:color w:val="0D0D0D" w:themeColor="text1" w:themeTint="F2"/>
          <w:szCs w:val="32"/>
          <w14:textFill>
            <w14:solidFill>
              <w14:schemeClr w14:val="tx1">
                <w14:lumMod w14:val="95000"/>
                <w14:lumOff w14:val="5000"/>
              </w14:schemeClr>
            </w14:solidFill>
          </w14:textFill>
        </w:rPr>
        <w:t>健全创新保护机制，</w:t>
      </w:r>
      <w:r>
        <w:rPr>
          <w:rFonts w:hint="eastAsia" w:ascii="宋体" w:hAnsi="宋体" w:cs="仿宋_GB2312"/>
          <w:color w:val="0D0D0D" w:themeColor="text1" w:themeTint="F2"/>
          <w:szCs w:val="32"/>
          <w14:textFill>
            <w14:solidFill>
              <w14:schemeClr w14:val="tx1">
                <w14:lumMod w14:val="95000"/>
                <w14:lumOff w14:val="5000"/>
              </w14:schemeClr>
            </w14:solidFill>
          </w14:textFill>
        </w:rPr>
        <w:t>强化知识产权保护，统筹推进严保护、大保护、快保护、同保护工作格局，引导氢能源、石材、石材机械等行业加快核心技术研发，提高自主创新能力。支持企业建立健全技术创新机制，贯彻知识产权管理规范，保护企业发展核心。</w:t>
      </w:r>
    </w:p>
    <w:p w14:paraId="0EBC1DEE">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加快发展高新技术企业。</w:t>
      </w:r>
      <w:r>
        <w:rPr>
          <w:rFonts w:hint="eastAsia" w:ascii="宋体" w:hAnsi="宋体"/>
          <w:color w:val="0D0D0D" w:themeColor="text1" w:themeTint="F2"/>
          <w:szCs w:val="32"/>
          <w14:textFill>
            <w14:solidFill>
              <w14:schemeClr w14:val="tx1">
                <w14:lumMod w14:val="95000"/>
                <w14:lumOff w14:val="5000"/>
              </w14:schemeClr>
            </w14:solidFill>
          </w14:textFill>
        </w:rPr>
        <w:t>实施高新技术企业培育计划和创新型企业成长路线图计划，</w:t>
      </w:r>
      <w:r>
        <w:rPr>
          <w:rFonts w:hint="eastAsia" w:ascii="宋体" w:hAnsi="宋体"/>
          <w:szCs w:val="32"/>
        </w:rPr>
        <w:t>支持云浮中科石材有限公司、南药研究院等建设省级新型研发机构，培育更多国家级高新技术企业。加强知识产权保护，</w:t>
      </w:r>
      <w:r>
        <w:rPr>
          <w:rFonts w:hint="eastAsia" w:ascii="宋体" w:hAnsi="宋体"/>
          <w:color w:val="0D0D0D" w:themeColor="text1" w:themeTint="F2"/>
          <w:szCs w:val="32"/>
          <w14:textFill>
            <w14:solidFill>
              <w14:schemeClr w14:val="tx1">
                <w14:lumMod w14:val="95000"/>
                <w14:lumOff w14:val="5000"/>
              </w14:schemeClr>
            </w14:solidFill>
          </w14:textFill>
        </w:rPr>
        <w:t>完善高新技术企业政策扶持机制，引导、发动和辅导企业加强创新管理，做好申报高新技术企业培育库入库和认定、复审、重新认定等工作，提升高新技术企业数量和规模。紧抓市创建国家高新区契机，大力培育金属智造、氢能源、生物医药等产业企业申报高新技术企业。力争到2025年，全区高新技术企业数量翻一倍。</w:t>
      </w:r>
    </w:p>
    <w:p w14:paraId="2A60DD4A">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培育壮大创新主体。</w:t>
      </w:r>
      <w:r>
        <w:rPr>
          <w:rFonts w:hint="eastAsia" w:ascii="宋体" w:hAnsi="宋体"/>
          <w:color w:val="0D0D0D" w:themeColor="text1" w:themeTint="F2"/>
          <w:szCs w:val="32"/>
          <w14:textFill>
            <w14:solidFill>
              <w14:schemeClr w14:val="tx1">
                <w14:lumMod w14:val="95000"/>
                <w14:lumOff w14:val="5000"/>
              </w14:schemeClr>
            </w14:solidFill>
          </w14:textFill>
        </w:rPr>
        <w:t>积极搭建企业与高等院校的产学研合作和产业服务平台，培育一批金属智造、健康医药等战略性新兴产业领域高成长型企业。加强技术支撑，鼓励高校院所开放科研条件设施、与培育对象共建实验室或技术中心。支持高校院所通过技术许可、技术交易、技术合作入股企业，服务于培育对象的发展。完善风险投资补偿机制，引导风投聚焦于新兴产业。</w:t>
      </w:r>
    </w:p>
    <w:p w14:paraId="629EAFBF">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8" w:name="_Toc2624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构筑创新型人才强区</w:t>
      </w:r>
      <w:bookmarkEnd w:id="38"/>
    </w:p>
    <w:p w14:paraId="3AE57A3E">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加大高端人才引进力度。</w:t>
      </w:r>
      <w:r>
        <w:rPr>
          <w:rFonts w:hint="eastAsia" w:ascii="宋体" w:hAnsi="宋体"/>
          <w:color w:val="0D0D0D" w:themeColor="text1" w:themeTint="F2"/>
          <w:szCs w:val="32"/>
          <w14:textFill>
            <w14:solidFill>
              <w14:schemeClr w14:val="tx1">
                <w14:lumMod w14:val="95000"/>
                <w14:lumOff w14:val="5000"/>
              </w14:schemeClr>
            </w14:solidFill>
          </w14:textFill>
        </w:rPr>
        <w:t>贯彻落实扬帆广东特支计划等重大人才计划，持续深化我区“石都英才计划”，发挥人才驿站招才引智功能，建立高端人才供需网和数据库，着力引进大湾区高层次人才，举办系列人才交流活动。以开展科技计划项目为载体，大力引进掌握核心技术和关键技术的科技领军人才和创新型科技人才，引进既懂技术又懂经营的高级复合型人才及其工作团队。</w:t>
      </w:r>
    </w:p>
    <w:p w14:paraId="72A99B9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加强高技能人才培养。</w:t>
      </w:r>
      <w:r>
        <w:rPr>
          <w:rFonts w:hint="eastAsia" w:ascii="宋体" w:hAnsi="宋体"/>
          <w:color w:val="0D0D0D" w:themeColor="text1" w:themeTint="F2"/>
          <w:szCs w:val="32"/>
          <w14:textFill>
            <w14:solidFill>
              <w14:schemeClr w14:val="tx1">
                <w14:lumMod w14:val="95000"/>
                <w14:lumOff w14:val="5000"/>
              </w14:schemeClr>
            </w14:solidFill>
          </w14:textFill>
        </w:rPr>
        <w:t>开展校企联合培养试点，建立产教融合、校企合作的技术技能人才培养模式。加强新时期产业工人队伍建设。加强人才岗位职业培训，提高人才队伍的专业水平和整体素质。依托云浮技师学院座落在我区的优势，利用好其教学资源，重点加强对石材、机械、金属智造、现代物流、信息技术应用等本土工种的培训。利用前锋花卉、南药育苗基地，大力开展南药、花卉栽培技术人才技能培训，为南药、花卉基地提供基础人才。</w:t>
      </w:r>
    </w:p>
    <w:p w14:paraId="75A67BBC">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全面完善人才服务保障。</w:t>
      </w:r>
      <w:r>
        <w:rPr>
          <w:rFonts w:hint="eastAsia" w:ascii="宋体" w:hAnsi="宋体"/>
          <w:color w:val="0D0D0D" w:themeColor="text1" w:themeTint="F2"/>
          <w:szCs w:val="32"/>
          <w14:textFill>
            <w14:solidFill>
              <w14:schemeClr w14:val="tx1">
                <w14:lumMod w14:val="95000"/>
                <w14:lumOff w14:val="5000"/>
              </w14:schemeClr>
            </w14:solidFill>
          </w14:textFill>
        </w:rPr>
        <w:t>深化人才发展体制机制改革，构建更有竞争力的人才制度体系，优化实施人才引育政策，建立高层次人才长期稳定支持机制，对接用好粤东西北地区人才发展帮扶计划。加大各类人才职业工种标准和职业鉴定管理，完善劳动力培训转移就业专项资金补助工种目录。完善成果转化收益分配与激励机制，鼓励技术品牌、创意等知识产权参与收入分配。完善政府奖励、用人单位奖励和社会奖励互为补充的多层次奖励体系，对作出突出贡献的人才和人才的研发、创作、学习深造、国际交流等给予奖励或资助。优化人才服务政策</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解决高层次人才住房、户籍、子女入学、社保等问题。</w:t>
      </w:r>
    </w:p>
    <w:p w14:paraId="12D65F01">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39" w:name="_Toc1532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打造科技成果转化地</w:t>
      </w:r>
      <w:bookmarkEnd w:id="39"/>
    </w:p>
    <w:p w14:paraId="397B18A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大力构建创新生态链。</w:t>
      </w:r>
      <w:r>
        <w:rPr>
          <w:rFonts w:hint="eastAsia" w:ascii="宋体" w:hAnsi="宋体"/>
          <w:color w:val="0D0D0D" w:themeColor="text1" w:themeTint="F2"/>
          <w:szCs w:val="32"/>
          <w14:textFill>
            <w14:solidFill>
              <w14:schemeClr w14:val="tx1">
                <w14:lumMod w14:val="95000"/>
                <w14:lumOff w14:val="5000"/>
              </w14:schemeClr>
            </w14:solidFill>
          </w14:textFill>
        </w:rPr>
        <w:t>对接新型举国体制，更大力度推进科技体制改革，完善科技创新治理体系，推动项目、基地、人才、资金一体化高效配置。改进科技项目组织管理方式，实行“揭榜挂帅”等制度，完善科技评价机制。健全政府投入为主、社会多渠道投入机制。推进研究与开发费用占地区生产总值比重逐年显著增加，财政科技投入占地方财政支出比重逐年上升。完善金融支持创新体系，推动科技金融创新，促进新技术产业化、规模化应用。弘扬科学精神，普及科学知识和创新文化，引导全社会重视科学研究。</w:t>
      </w:r>
    </w:p>
    <w:p w14:paraId="6186BFE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全面融入“三区”和国际创新网络。</w:t>
      </w:r>
      <w:r>
        <w:rPr>
          <w:rFonts w:hint="eastAsia" w:ascii="宋体" w:hAnsi="宋体"/>
          <w:color w:val="0D0D0D" w:themeColor="text1" w:themeTint="F2"/>
          <w:szCs w:val="32"/>
          <w14:textFill>
            <w14:solidFill>
              <w14:schemeClr w14:val="tx1">
                <w14:lumMod w14:val="95000"/>
                <w14:lumOff w14:val="5000"/>
              </w14:schemeClr>
            </w14:solidFill>
          </w14:textFill>
        </w:rPr>
        <w:t>打造“三区”科技成果“聚集转化地”，主动融入粤港澳大湾区国际科创中心、广深港澳科技创新走廊，加强与“三区”科技交流合作，积极探索“三区输出、云城承接”“三区孵化育苗、云城成长成才”“三区启动、云城加速”等合作模式。围绕六大特色产业集群，引入“三区”创新资源，部署完善创新链。依托云浮国际创新院拓展国际科技交流合作，推动“一带一路”共建国家和地区科研成果在云城产业化。</w:t>
      </w:r>
    </w:p>
    <w:p w14:paraId="0B7385F0">
      <w:pPr>
        <w:pStyle w:val="4"/>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40" w:name="_Toc16745"/>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第四章 加快发展现代产业，推动经济体系优化升级</w:t>
      </w:r>
      <w:bookmarkEnd w:id="40"/>
    </w:p>
    <w:p w14:paraId="4CFF1DA5">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始终坚持绿色工业立区、绿色产业强区的发展方向，把发展经济着力点放在实体经济上，</w:t>
      </w:r>
      <w:r>
        <w:rPr>
          <w:rFonts w:hint="eastAsia" w:ascii="宋体" w:hAnsi="宋体"/>
          <w:szCs w:val="32"/>
        </w:rPr>
        <w:t>围绕金属智造、生物医药、现代农业、现代物流、康养文旅、绿色石材等“六大产业”，推动产业高端化、绿色化、集约化发展，</w:t>
      </w:r>
      <w:r>
        <w:rPr>
          <w:rFonts w:hint="eastAsia" w:ascii="宋体" w:hAnsi="宋体"/>
          <w:color w:val="0D0D0D" w:themeColor="text1" w:themeTint="F2"/>
          <w:szCs w:val="32"/>
          <w14:textFill>
            <w14:solidFill>
              <w14:schemeClr w14:val="tx1">
                <w14:lumMod w14:val="95000"/>
                <w14:lumOff w14:val="5000"/>
              </w14:schemeClr>
            </w14:solidFill>
          </w14:textFill>
        </w:rPr>
        <w:t>全力提高经济发展质量和效益。</w:t>
      </w:r>
    </w:p>
    <w:p w14:paraId="1901EAB3">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41" w:name="_Toc14809"/>
      <w:bookmarkStart w:id="42" w:name="_Hlk55316502"/>
      <w:bookmarkStart w:id="43" w:name="_Toc503638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w:t>
      </w:r>
      <w:bookmarkStart w:id="44" w:name="_Hlk6004140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推动产业园高质量发展</w:t>
      </w:r>
      <w:bookmarkEnd w:id="41"/>
    </w:p>
    <w:p w14:paraId="1ECA7471">
      <w:pPr>
        <w:pStyle w:val="17"/>
        <w:adjustRightInd w:val="0"/>
        <w:snapToGrid w:val="0"/>
        <w:spacing w:after="0" w:line="600" w:lineRule="exact"/>
        <w:ind w:left="0" w:leftChars="0" w:firstLine="643"/>
        <w:rPr>
          <w:rFonts w:ascii="宋体" w:hAnsi="宋体"/>
          <w:b/>
          <w:bCs/>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优化园区发展布局。</w:t>
      </w:r>
      <w:r>
        <w:rPr>
          <w:rFonts w:hint="eastAsia" w:ascii="宋体" w:hAnsi="宋体"/>
          <w:color w:val="0D0D0D" w:themeColor="text1" w:themeTint="F2"/>
          <w:szCs w:val="32"/>
          <w14:textFill>
            <w14:solidFill>
              <w14:schemeClr w14:val="tx1">
                <w14:lumMod w14:val="95000"/>
                <w14:lumOff w14:val="5000"/>
              </w14:schemeClr>
            </w14:solidFill>
          </w14:textFill>
        </w:rPr>
        <w:t>加强园区发展与国土空间规划衔接，统筹生产、生活、生态空间，科学制订新一轮产业园区规划。强化资源集约利用，加强园区存量用地二次开发，促进低效闲置土地的处置利用，提升园区发展空间。深入实施园区产值倍增计划，以重点产业和骨干企业为依托，加大产业整合力度，推动优势资源和规模企业向符合产业布局要求的园区集中，增强规模集聚效应。鼓励园区开展跨区域合作，发展“飞地经济”，探索与广佛肇地区共同建设项目孵化、人才培养、市场拓展等服务平台和产业园区，为承接产业转移项目创造条件。</w:t>
      </w:r>
    </w:p>
    <w:p w14:paraId="3E2EB3C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强化特色园区建设。</w:t>
      </w:r>
      <w:r>
        <w:rPr>
          <w:rFonts w:hint="eastAsia" w:ascii="宋体" w:hAnsi="宋体"/>
          <w:color w:val="0D0D0D" w:themeColor="text1" w:themeTint="F2"/>
          <w:szCs w:val="32"/>
          <w14:textFill>
            <w14:solidFill>
              <w14:schemeClr w14:val="tx1">
                <w14:lumMod w14:val="95000"/>
                <w14:lumOff w14:val="5000"/>
              </w14:schemeClr>
            </w14:solidFill>
          </w14:textFill>
        </w:rPr>
        <w:t>围绕金属智造、生物医药、现代农业、康养文旅、现代物流、绿色石材六大特色产业，加快引进行业领军企业。进一步加强产融对接，降低融资成本，增强产业集群发展能级。按照“一园一策”，打造一批产业集聚、定位鲜明、配套完善、功能完备、竞争力强的特色产业园区。加快金属智造科技产业园、健康医药产业</w:t>
      </w:r>
      <w:r>
        <w:rPr>
          <w:rFonts w:hint="eastAsia" w:ascii="宋体" w:hAnsi="宋体"/>
          <w:szCs w:val="32"/>
        </w:rPr>
        <w:t>园、现代农业</w:t>
      </w:r>
      <w:r>
        <w:rPr>
          <w:rFonts w:hint="eastAsia" w:ascii="宋体" w:hAnsi="宋体"/>
          <w:color w:val="0D0D0D" w:themeColor="text1" w:themeTint="F2"/>
          <w:szCs w:val="32"/>
          <w14:textFill>
            <w14:solidFill>
              <w14:schemeClr w14:val="tx1">
                <w14:lumMod w14:val="95000"/>
                <w14:lumOff w14:val="5000"/>
              </w14:schemeClr>
            </w14:solidFill>
          </w14:textFill>
        </w:rPr>
        <w:t>产业园、安塘石材园区、广云现代物流产业园等专业园区建设。充分利用广佛肇云高速、国道324线改线途经前锋、南盛的交通优势，结合自身生态优势，谋划推进绿色石材产业园和前锋、南盛生态产业园建设。</w:t>
      </w:r>
    </w:p>
    <w:p w14:paraId="0DC06790">
      <w:pPr>
        <w:pStyle w:val="17"/>
        <w:adjustRightInd w:val="0"/>
        <w:snapToGrid w:val="0"/>
        <w:spacing w:after="0" w:line="600" w:lineRule="exact"/>
        <w:ind w:left="0" w:leftChars="0" w:firstLine="643"/>
        <w:rPr>
          <w:rFonts w:ascii="宋体" w:hAnsi="宋体"/>
          <w:b/>
          <w:bCs/>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促进产城融合发展。</w:t>
      </w:r>
      <w:r>
        <w:rPr>
          <w:rFonts w:hint="eastAsia" w:ascii="宋体" w:hAnsi="宋体"/>
          <w:color w:val="0D0D0D" w:themeColor="text1" w:themeTint="F2"/>
          <w:szCs w:val="32"/>
          <w14:textFill>
            <w14:solidFill>
              <w14:schemeClr w14:val="tx1">
                <w14:lumMod w14:val="95000"/>
                <w14:lumOff w14:val="5000"/>
              </w14:schemeClr>
            </w14:solidFill>
          </w14:textFill>
        </w:rPr>
        <w:t>推进园区和城镇基础设施、产业发展、市场体系、基本公共服务和生态环保一体化建设。鼓励有条件的园区集中建设教育、医疗、文化、娱乐、商业、生态等生活配套设施，向城市综合功能区转型。鼓励各类社会资本以独资、合资、参股、特许经营等方式投资园区公共基础设施、市政公用事业、交通运输、资源环境、能源等项目建设和运营。完善园区产业配套和服务体系，深化产教融合，提升产业协同创新发展能力。</w:t>
      </w:r>
    </w:p>
    <w:p w14:paraId="2AED8194">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45" w:name="_Toc1010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聚力发展新型支柱产业</w:t>
      </w:r>
      <w:bookmarkEnd w:id="45"/>
    </w:p>
    <w:bookmarkEnd w:id="42"/>
    <w:bookmarkEnd w:id="44"/>
    <w:p w14:paraId="4559E40B">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46" w:name="_Hlk55316577"/>
      <w:bookmarkStart w:id="47" w:name="_Hlk60041430"/>
      <w:r>
        <w:rPr>
          <w:rFonts w:hint="eastAsia" w:ascii="宋体" w:hAnsi="宋体"/>
          <w:b/>
          <w:bCs/>
          <w:color w:val="0D0D0D" w:themeColor="text1" w:themeTint="F2"/>
          <w:szCs w:val="32"/>
          <w14:textFill>
            <w14:solidFill>
              <w14:schemeClr w14:val="tx1">
                <w14:lumMod w14:val="95000"/>
                <w14:lumOff w14:val="5000"/>
              </w14:schemeClr>
            </w14:solidFill>
          </w14:textFill>
        </w:rPr>
        <w:t>大力发展金属智造产业。</w:t>
      </w:r>
      <w:bookmarkEnd w:id="46"/>
      <w:r>
        <w:rPr>
          <w:rFonts w:hint="eastAsia" w:ascii="宋体" w:hAnsi="宋体"/>
          <w:color w:val="0D0D0D" w:themeColor="text1" w:themeTint="F2"/>
          <w:szCs w:val="32"/>
          <w14:textFill>
            <w14:solidFill>
              <w14:schemeClr w14:val="tx1">
                <w14:lumMod w14:val="95000"/>
                <w14:lumOff w14:val="5000"/>
              </w14:schemeClr>
            </w14:solidFill>
          </w14:textFill>
        </w:rPr>
        <w:t>强化项目支撑，加快</w:t>
      </w:r>
      <w:r>
        <w:rPr>
          <w:rFonts w:hint="eastAsia" w:ascii="仿宋" w:hAnsi="仿宋" w:eastAsia="仿宋" w:cs="仿宋"/>
          <w:bCs/>
          <w:color w:val="000000"/>
          <w:szCs w:val="32"/>
        </w:rPr>
        <w:t>金晟兰优特钢、东海精品钢</w:t>
      </w:r>
      <w:r>
        <w:rPr>
          <w:rFonts w:hint="eastAsia" w:ascii="宋体" w:hAnsi="宋体"/>
          <w:color w:val="0D0D0D" w:themeColor="text1" w:themeTint="F2"/>
          <w:szCs w:val="32"/>
          <w14:textFill>
            <w14:solidFill>
              <w14:schemeClr w14:val="tx1">
                <w14:lumMod w14:val="95000"/>
                <w14:lumOff w14:val="5000"/>
              </w14:schemeClr>
            </w14:solidFill>
          </w14:textFill>
        </w:rPr>
        <w:t>两大钢铁项目建设，以“高、精、尖、深、专”钢材产品的研发应用为方向，推动优特钢产业向高技术密集、高产品附加值方向延伸。瞄准金属制品产业转型升级需求，重点发展高端金属铸造、机械装备制造、汽车零部件制造等领域，配套引进集装箱及金属包装容器、装配式建材五金、金属表面处理加工等产业环节，完善金属智造产业链。加快推进金属制品领域的先进和绿色制造工艺研发、共性关键技术攻关，推动金属智造产业高质量发展。</w:t>
      </w:r>
    </w:p>
    <w:bookmarkEnd w:id="47"/>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BEA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51FFCA5F">
            <w:pPr>
              <w:adjustRightInd w:val="0"/>
              <w:snapToGrid w:val="0"/>
              <w:jc w:val="center"/>
              <w:rPr>
                <w:rFonts w:ascii="黑体" w:hAnsi="黑体" w:eastAsia="黑体"/>
                <w:b/>
                <w:bCs/>
                <w:color w:val="0D0D0D" w:themeColor="text1" w:themeTint="F2"/>
                <w:sz w:val="24"/>
                <w14:textFill>
                  <w14:solidFill>
                    <w14:schemeClr w14:val="tx1">
                      <w14:lumMod w14:val="95000"/>
                      <w14:lumOff w14:val="5000"/>
                    </w14:schemeClr>
                  </w14:solidFill>
                </w14:textFill>
              </w:rPr>
            </w:pPr>
            <w:r>
              <w:rPr>
                <w:rFonts w:hint="eastAsia" w:ascii="黑体" w:hAnsi="黑体" w:eastAsia="黑体" w:cs="黑体"/>
                <w:color w:val="0D0D0D" w:themeColor="text1" w:themeTint="F2"/>
                <w:sz w:val="24"/>
                <w14:textFill>
                  <w14:solidFill>
                    <w14:schemeClr w14:val="tx1">
                      <w14:lumMod w14:val="95000"/>
                      <w14:lumOff w14:val="5000"/>
                    </w14:schemeClr>
                  </w14:solidFill>
                </w14:textFill>
              </w:rPr>
              <w:t>专栏</w:t>
            </w:r>
            <w:r>
              <w:rPr>
                <w:rFonts w:ascii="黑体" w:hAnsi="黑体" w:eastAsia="黑体"/>
                <w:color w:val="0D0D0D" w:themeColor="text1" w:themeTint="F2"/>
                <w:sz w:val="24"/>
                <w14:textFill>
                  <w14:solidFill>
                    <w14:schemeClr w14:val="tx1">
                      <w14:lumMod w14:val="95000"/>
                      <w14:lumOff w14:val="5000"/>
                    </w14:schemeClr>
                  </w14:solidFill>
                </w14:textFill>
              </w:rPr>
              <w:t xml:space="preserve">2  </w:t>
            </w:r>
            <w:r>
              <w:rPr>
                <w:rFonts w:hint="eastAsia" w:ascii="黑体" w:hAnsi="黑体" w:eastAsia="黑体"/>
                <w:color w:val="0D0D0D" w:themeColor="text1" w:themeTint="F2"/>
                <w:sz w:val="24"/>
                <w14:textFill>
                  <w14:solidFill>
                    <w14:schemeClr w14:val="tx1">
                      <w14:lumMod w14:val="95000"/>
                      <w14:lumOff w14:val="5000"/>
                    </w14:schemeClr>
                  </w14:solidFill>
                </w14:textFill>
              </w:rPr>
              <w:t>“十四五”时期我区金属智造产业</w:t>
            </w:r>
            <w:r>
              <w:rPr>
                <w:rFonts w:hint="eastAsia" w:ascii="黑体" w:hAnsi="黑体" w:eastAsia="黑体" w:cs="黑体"/>
                <w:color w:val="0D0D0D" w:themeColor="text1" w:themeTint="F2"/>
                <w:sz w:val="24"/>
                <w14:textFill>
                  <w14:solidFill>
                    <w14:schemeClr w14:val="tx1">
                      <w14:lumMod w14:val="95000"/>
                      <w14:lumOff w14:val="5000"/>
                    </w14:schemeClr>
                  </w14:solidFill>
                </w14:textFill>
              </w:rPr>
              <w:t>重点领域和项目</w:t>
            </w:r>
          </w:p>
        </w:tc>
      </w:tr>
      <w:tr w14:paraId="38C2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0" w:type="dxa"/>
          </w:tcPr>
          <w:p w14:paraId="70019AB6">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重点领域：</w:t>
            </w:r>
          </w:p>
          <w:p w14:paraId="7959D65D">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1.</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高端金属铸造。</w:t>
            </w:r>
            <w:r>
              <w:rPr>
                <w:rFonts w:hint="eastAsia" w:ascii="宋体" w:hAnsi="宋体" w:cs="仿宋_GB2312"/>
                <w:color w:val="0D0D0D" w:themeColor="text1" w:themeTint="F2"/>
                <w:sz w:val="24"/>
                <w14:textFill>
                  <w14:solidFill>
                    <w14:schemeClr w14:val="tx1">
                      <w14:lumMod w14:val="95000"/>
                      <w14:lumOff w14:val="5000"/>
                    </w14:schemeClr>
                  </w14:solidFill>
                </w14:textFill>
              </w:rPr>
              <w:t>围绕汽车、机械、家电、造船、石油化工等重大装备高端制造领域，</w:t>
            </w:r>
            <w:r>
              <w:rPr>
                <w:rFonts w:hint="eastAsia" w:ascii="仿宋_GB2312" w:hAnsi="仿宋_GB2312" w:cs="仿宋_GB2312"/>
                <w:color w:val="0D0D0D" w:themeColor="text1" w:themeTint="F2"/>
                <w:sz w:val="24"/>
                <w14:textFill>
                  <w14:solidFill>
                    <w14:schemeClr w14:val="tx1">
                      <w14:lumMod w14:val="95000"/>
                      <w14:lumOff w14:val="5000"/>
                    </w14:schemeClr>
                  </w14:solidFill>
                </w14:textFill>
              </w:rPr>
              <w:t>以</w:t>
            </w:r>
            <w:r>
              <w:rPr>
                <w:rFonts w:hint="eastAsia" w:ascii="仿宋_GB2312" w:hAnsi="仿宋_GB2312" w:cs="仿宋_GB2312"/>
                <w:bCs/>
                <w:color w:val="000000"/>
                <w:sz w:val="24"/>
              </w:rPr>
              <w:t>金晟兰优特钢、东海精品钢</w:t>
            </w:r>
            <w:r>
              <w:rPr>
                <w:rFonts w:hint="eastAsia" w:ascii="仿宋_GB2312" w:hAnsi="仿宋_GB2312" w:cs="仿宋_GB2312"/>
                <w:color w:val="0D0D0D" w:themeColor="text1" w:themeTint="F2"/>
                <w:sz w:val="24"/>
                <w14:textFill>
                  <w14:solidFill>
                    <w14:schemeClr w14:val="tx1">
                      <w14:lumMod w14:val="95000"/>
                      <w14:lumOff w14:val="5000"/>
                    </w14:schemeClr>
                  </w14:solidFill>
                </w14:textFill>
              </w:rPr>
              <w:t>两大</w:t>
            </w:r>
            <w:r>
              <w:rPr>
                <w:rFonts w:hint="eastAsia" w:ascii="宋体" w:hAnsi="宋体" w:cs="仿宋_GB2312"/>
                <w:color w:val="0D0D0D" w:themeColor="text1" w:themeTint="F2"/>
                <w:sz w:val="24"/>
                <w14:textFill>
                  <w14:solidFill>
                    <w14:schemeClr w14:val="tx1">
                      <w14:lumMod w14:val="95000"/>
                      <w14:lumOff w14:val="5000"/>
                    </w14:schemeClr>
                  </w14:solidFill>
                </w14:textFill>
              </w:rPr>
              <w:t>钢铁项目支撑，加快发展高强度、耐腐蚀抗震的高规格优特钢产品。</w:t>
            </w:r>
          </w:p>
          <w:p w14:paraId="361B667F">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2.</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集装箱及金属包装容器。</w:t>
            </w:r>
            <w:r>
              <w:rPr>
                <w:rFonts w:hint="eastAsia" w:ascii="宋体" w:hAnsi="宋体" w:cs="仿宋_GB2312"/>
                <w:color w:val="0D0D0D" w:themeColor="text1" w:themeTint="F2"/>
                <w:sz w:val="24"/>
                <w14:textFill>
                  <w14:solidFill>
                    <w14:schemeClr w14:val="tx1">
                      <w14:lumMod w14:val="95000"/>
                      <w14:lumOff w14:val="5000"/>
                    </w14:schemeClr>
                  </w14:solidFill>
                </w14:textFill>
              </w:rPr>
              <w:t>提升材料研发、包装设计、工艺技术、生产设备及管理能力，为化工、饮料、食品、日化等行业提供包装服务。</w:t>
            </w:r>
          </w:p>
          <w:p w14:paraId="60B5AB60">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3.</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装配式建材五金。</w:t>
            </w:r>
            <w:r>
              <w:rPr>
                <w:rFonts w:hint="eastAsia" w:ascii="宋体" w:hAnsi="宋体" w:cs="仿宋_GB2312"/>
                <w:color w:val="0D0D0D" w:themeColor="text1" w:themeTint="F2"/>
                <w:sz w:val="24"/>
                <w14:textFill>
                  <w14:solidFill>
                    <w14:schemeClr w14:val="tx1">
                      <w14:lumMod w14:val="95000"/>
                      <w14:lumOff w14:val="5000"/>
                    </w14:schemeClr>
                  </w14:solidFill>
                </w14:textFill>
              </w:rPr>
              <w:t>提升现有装配式建筑部品部件生产能力，延伸发展装配式建筑设计、生产、施工、装修等行业领域。</w:t>
            </w:r>
          </w:p>
          <w:p w14:paraId="212EE7AC">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ascii="宋体" w:hAnsi="宋体" w:cs="仿宋_GB2312"/>
                <w:b/>
                <w:bCs/>
                <w:color w:val="0D0D0D" w:themeColor="text1" w:themeTint="F2"/>
                <w:sz w:val="24"/>
                <w14:textFill>
                  <w14:solidFill>
                    <w14:schemeClr w14:val="tx1">
                      <w14:lumMod w14:val="95000"/>
                      <w14:lumOff w14:val="5000"/>
                    </w14:schemeClr>
                  </w14:solidFill>
                </w14:textFill>
              </w:rPr>
              <w:t>4.</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金属表面处理加工。</w:t>
            </w:r>
            <w:r>
              <w:rPr>
                <w:rFonts w:hint="eastAsia" w:ascii="宋体" w:hAnsi="宋体" w:cs="仿宋_GB2312"/>
                <w:color w:val="0D0D0D" w:themeColor="text1" w:themeTint="F2"/>
                <w:sz w:val="24"/>
                <w14:textFill>
                  <w14:solidFill>
                    <w14:schemeClr w14:val="tx1">
                      <w14:lumMod w14:val="95000"/>
                      <w14:lumOff w14:val="5000"/>
                    </w14:schemeClr>
                  </w14:solidFill>
                </w14:textFill>
              </w:rPr>
              <w:t>重点发展高端五金制品产业。</w:t>
            </w:r>
          </w:p>
          <w:p w14:paraId="4D11BE0A">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重点项目：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广东金属智造科技产业园、广东金晟兰冶金科技有限公司年产</w:t>
            </w:r>
            <w:r>
              <w:rPr>
                <w:rFonts w:ascii="宋体" w:hAnsi="宋体" w:cs="仿宋_GB2312"/>
                <w:color w:val="0D0D0D" w:themeColor="text1" w:themeTint="F2"/>
                <w:sz w:val="24"/>
                <w14:textFill>
                  <w14:solidFill>
                    <w14:schemeClr w14:val="tx1">
                      <w14:lumMod w14:val="95000"/>
                      <w14:lumOff w14:val="5000"/>
                    </w14:schemeClr>
                  </w14:solidFill>
                </w14:textFill>
              </w:rPr>
              <w:t>800万吨优特钢项目、广东南方东海钢铁有限公司精品钢项目。</w:t>
            </w:r>
          </w:p>
        </w:tc>
      </w:tr>
    </w:tbl>
    <w:p w14:paraId="6D169674">
      <w:pPr>
        <w:pStyle w:val="17"/>
        <w:adjustRightInd w:val="0"/>
        <w:snapToGrid w:val="0"/>
        <w:spacing w:before="300" w:beforeLines="50"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48" w:name="_Hlk55316595"/>
      <w:bookmarkStart w:id="49" w:name="_Hlk60041514"/>
      <w:r>
        <w:rPr>
          <w:rFonts w:hint="eastAsia" w:ascii="宋体" w:hAnsi="宋体"/>
          <w:b/>
          <w:bCs/>
          <w:color w:val="0D0D0D" w:themeColor="text1" w:themeTint="F2"/>
          <w:szCs w:val="32"/>
          <w14:textFill>
            <w14:solidFill>
              <w14:schemeClr w14:val="tx1">
                <w14:lumMod w14:val="95000"/>
                <w14:lumOff w14:val="5000"/>
              </w14:schemeClr>
            </w14:solidFill>
          </w14:textFill>
        </w:rPr>
        <w:t>培育壮大健康医药产业。</w:t>
      </w:r>
      <w:r>
        <w:rPr>
          <w:rFonts w:hint="eastAsia" w:ascii="宋体" w:hAnsi="宋体"/>
          <w:color w:val="0D0D0D" w:themeColor="text1" w:themeTint="F2"/>
          <w:szCs w:val="32"/>
          <w14:textFill>
            <w14:solidFill>
              <w14:schemeClr w14:val="tx1">
                <w14:lumMod w14:val="95000"/>
                <w14:lumOff w14:val="5000"/>
              </w14:schemeClr>
            </w14:solidFill>
          </w14:textFill>
        </w:rPr>
        <w:t>加快推进中智、信基、东升林等项目建设，以健康医药产业园为载体，</w:t>
      </w:r>
      <w:r>
        <w:rPr>
          <w:rFonts w:hint="eastAsia" w:ascii="仿宋_GB2312" w:hAnsi="仿宋_GB2312" w:cs="仿宋_GB2312"/>
          <w:bCs/>
          <w:szCs w:val="32"/>
        </w:rPr>
        <w:t>紧抓国家中医药产业发展试验区创建和中药资源中心药用资源种质库建设机遇，利用热电联供优势，推进省市共建生物医药产业园建设，谋划一批优质南药深加工项目集聚发展。积极培育发展养殖业中药替抗产业。</w:t>
      </w:r>
      <w:r>
        <w:rPr>
          <w:rFonts w:hint="eastAsia" w:ascii="宋体" w:hAnsi="宋体"/>
          <w:color w:val="0D0D0D" w:themeColor="text1" w:themeTint="F2"/>
          <w:szCs w:val="32"/>
          <w14:textFill>
            <w14:solidFill>
              <w14:schemeClr w14:val="tx1">
                <w14:lumMod w14:val="95000"/>
                <w14:lumOff w14:val="5000"/>
              </w14:schemeClr>
            </w14:solidFill>
          </w14:textFill>
        </w:rPr>
        <w:t>重点引进现代生物医药、中药制药、南药加工、中高端医疗器械、保健品、健康绿色食品和有机食品企业为主，同时辅以引进物流仓储、研发质检等相关配套企业，培育发展轻工型高附加值产业集群。</w:t>
      </w:r>
      <w:bookmarkEnd w:id="48"/>
      <w:r>
        <w:rPr>
          <w:rFonts w:hint="eastAsia" w:ascii="宋体" w:hAnsi="宋体"/>
          <w:color w:val="0D0D0D" w:themeColor="text1" w:themeTint="F2"/>
          <w:szCs w:val="32"/>
          <w14:textFill>
            <w14:solidFill>
              <w14:schemeClr w14:val="tx1">
                <w14:lumMod w14:val="95000"/>
                <w14:lumOff w14:val="5000"/>
              </w14:schemeClr>
            </w14:solidFill>
          </w14:textFill>
        </w:rPr>
        <w:t>探索推动健康医药产业与</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、大数据、人工智能等数字技术融合发展，努力打造北部生态发展区一流的健康医药产业基地，培育国内外知名的健康医药产业园区。</w:t>
      </w:r>
    </w:p>
    <w:p w14:paraId="4165D3BC">
      <w:pPr>
        <w:pStyle w:val="17"/>
        <w:adjustRightInd w:val="0"/>
        <w:snapToGrid w:val="0"/>
        <w:spacing w:before="300" w:beforeLines="50"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063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tcPr>
          <w:p w14:paraId="1B186F90">
            <w:pPr>
              <w:jc w:val="center"/>
              <w:rPr>
                <w:rFonts w:ascii="黑体" w:hAnsi="黑体" w:eastAsia="黑体"/>
                <w:sz w:val="24"/>
              </w:rPr>
            </w:pPr>
            <w:r>
              <w:rPr>
                <w:rFonts w:hint="eastAsia" w:ascii="黑体" w:hAnsi="黑体" w:eastAsia="黑体"/>
                <w:sz w:val="24"/>
              </w:rPr>
              <w:t>专栏</w:t>
            </w:r>
            <w:r>
              <w:rPr>
                <w:rFonts w:ascii="黑体" w:hAnsi="黑体" w:eastAsia="黑体"/>
                <w:sz w:val="24"/>
              </w:rPr>
              <w:t xml:space="preserve">3  </w:t>
            </w:r>
            <w:r>
              <w:rPr>
                <w:rFonts w:hint="eastAsia" w:ascii="黑体" w:hAnsi="黑体" w:eastAsia="黑体"/>
                <w:sz w:val="24"/>
              </w:rPr>
              <w:t>“十四五”时期我区健康医药产业重点领域和项目</w:t>
            </w:r>
          </w:p>
        </w:tc>
      </w:tr>
      <w:tr w14:paraId="6523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4D7AB47">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重点领域：</w:t>
            </w:r>
          </w:p>
          <w:p w14:paraId="406C3BE0">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1.中医药研发。</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探索中药信息、植化提取、分析测定、化学合成、药理分析等研发和产业化，支持名老中医经验方、中药医疗机构制剂等领域的研发应用。</w:t>
            </w:r>
          </w:p>
          <w:p w14:paraId="4B00AB0E">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2.中药材规范化种植养殖。</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加强道地药材良种繁育基地和规范化种植养殖基地建设。大力发展中药材种植养殖专业合作社和合作联社，提高规模化、规范化水平。</w:t>
            </w:r>
          </w:p>
          <w:p w14:paraId="41F4F9B4">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3.保健品和绿色有机食品。</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支持高质量和品牌生物健康食品、保健品、保健用品的规模化发展，丰富产品层次，加强品牌推广，加快推进生物健康制品的标准化建设。</w:t>
            </w:r>
          </w:p>
          <w:p w14:paraId="50EEB684">
            <w:pPr>
              <w:pStyle w:val="17"/>
              <w:adjustRightInd w:val="0"/>
              <w:snapToGrid w:val="0"/>
              <w:spacing w:line="360" w:lineRule="auto"/>
              <w:ind w:left="0" w:leftChars="0" w:firstLine="0" w:firstLineChars="0"/>
              <w:rPr>
                <w:rFonts w:ascii="宋体" w:hAnsi="宋体" w:eastAsia="仿宋" w:cs="仿宋"/>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4.智慧健康特色产业。</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重点推动互联网、物联网、大数据、云计算、区块链、人工智能等新一代信息技术与健康产业深度融合和集成创新，形成智慧健康特色产业。</w:t>
            </w:r>
          </w:p>
          <w:p w14:paraId="28936C9B">
            <w:pPr>
              <w:pStyle w:val="17"/>
              <w:adjustRightInd w:val="0"/>
              <w:snapToGrid w:val="0"/>
              <w:spacing w:after="0" w:line="360" w:lineRule="auto"/>
              <w:ind w:left="0" w:leftChars="0" w:firstLine="0" w:firstLineChars="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eastAsia="仿宋" w:cs="仿宋"/>
                <w:b/>
                <w:bCs/>
                <w:color w:val="0D0D0D" w:themeColor="text1" w:themeTint="F2"/>
                <w:sz w:val="24"/>
                <w14:textFill>
                  <w14:solidFill>
                    <w14:schemeClr w14:val="tx1">
                      <w14:lumMod w14:val="95000"/>
                      <w14:lumOff w14:val="5000"/>
                    </w14:schemeClr>
                  </w14:solidFill>
                </w14:textFill>
              </w:rPr>
              <w:t>重点项目：</w:t>
            </w:r>
            <w:r>
              <w:rPr>
                <w:rFonts w:hint="eastAsia" w:ascii="宋体" w:hAnsi="宋体" w:eastAsia="仿宋" w:cs="仿宋"/>
                <w:color w:val="0D0D0D" w:themeColor="text1" w:themeTint="F2"/>
                <w:sz w:val="24"/>
                <w14:textFill>
                  <w14:solidFill>
                    <w14:schemeClr w14:val="tx1">
                      <w14:lumMod w14:val="95000"/>
                      <w14:lumOff w14:val="5000"/>
                    </w14:schemeClr>
                  </w14:solidFill>
                </w14:textFill>
              </w:rPr>
              <w:t>云浮·信基健康产业城、中智药业集团云浮投资项目、广东东升林药业项目、广东麦燕健康食品项目、广东春华健康食品项目、广东宏耀（国际）健康食品产业项目。</w:t>
            </w:r>
          </w:p>
        </w:tc>
      </w:tr>
      <w:bookmarkEnd w:id="49"/>
    </w:tbl>
    <w:p w14:paraId="38EA3590">
      <w:pPr>
        <w:adjustRightInd w:val="0"/>
        <w:snapToGrid w:val="0"/>
        <w:spacing w:before="300" w:beforeLines="50" w:line="600" w:lineRule="exact"/>
        <w:ind w:firstLine="641"/>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加快发展氢能产业。</w:t>
      </w:r>
      <w:bookmarkStart w:id="50" w:name="_Hlk55468703"/>
      <w:r>
        <w:rPr>
          <w:rFonts w:hint="eastAsia" w:ascii="宋体" w:hAnsi="宋体"/>
          <w:color w:val="0D0D0D" w:themeColor="text1" w:themeTint="F2"/>
          <w:szCs w:val="32"/>
          <w14:textFill>
            <w14:solidFill>
              <w14:schemeClr w14:val="tx1">
                <w14:lumMod w14:val="95000"/>
                <w14:lumOff w14:val="5000"/>
              </w14:schemeClr>
            </w14:solidFill>
          </w14:textFill>
        </w:rPr>
        <w:t>配合全市加快构建具有核心竞争力，涵盖制氢加氢、新型高压储氢瓶、电堆及动力总成、整车制造、技术研究及产品检测、推广应用等环节的产业集群。围绕</w:t>
      </w:r>
      <w:bookmarkEnd w:id="50"/>
      <w:r>
        <w:rPr>
          <w:rFonts w:hint="eastAsia" w:ascii="宋体" w:hAnsi="宋体"/>
          <w:color w:val="0D0D0D" w:themeColor="text1" w:themeTint="F2"/>
          <w:szCs w:val="32"/>
          <w14:textFill>
            <w14:solidFill>
              <w14:schemeClr w14:val="tx1">
                <w14:lumMod w14:val="95000"/>
                <w14:lumOff w14:val="5000"/>
              </w14:schemeClr>
            </w14:solidFill>
          </w14:textFill>
        </w:rPr>
        <w:t>燃料电池电堆、系统和整车等关键领域，着力建链补链强链。上游加快推进制氢，引进新型高压储氢瓶制造，下游引入新能源车推广运营、氢燃料电池无人机生产、氢农业示范基地、氢康养应用示范等项目。完善氢能源产业配套基础设施建设，重点打造氢能小镇+5G项目等项目，积极打造全国氢能汽车应用示范城市。</w:t>
      </w:r>
    </w:p>
    <w:p w14:paraId="0CFD22FB">
      <w:pPr>
        <w:pStyle w:val="17"/>
        <w:adjustRightInd w:val="0"/>
        <w:snapToGrid w:val="0"/>
        <w:spacing w:after="0" w:line="600" w:lineRule="exact"/>
        <w:ind w:left="0" w:leftChars="0" w:firstLine="643"/>
        <w:rPr>
          <w:rFonts w:ascii="仿宋_GB2312" w:hAnsi="仿宋_GB2312" w:cs="仿宋_GB2312"/>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大力发展总部经济。</w:t>
      </w:r>
      <w:r>
        <w:rPr>
          <w:rFonts w:hint="eastAsia" w:ascii="宋体" w:hAnsi="宋体"/>
          <w:color w:val="0D0D0D" w:themeColor="text1" w:themeTint="F2"/>
          <w:szCs w:val="32"/>
          <w14:textFill>
            <w14:solidFill>
              <w14:schemeClr w14:val="tx1">
                <w14:lumMod w14:val="95000"/>
                <w14:lumOff w14:val="5000"/>
              </w14:schemeClr>
            </w14:solidFill>
          </w14:textFill>
        </w:rPr>
        <w:t>大力提升区域硬件设施，完善产业综合配套，营造适宜总部机构发展的软硬环境，增强对先进制造业、高新技术产业和现代服务业总部企业的吸引力，着力培育引进一批总部经济项目。努力建设成为跨国公司、港澳台资在云浮市投资的区域重要总部经济区。整合全区力量打造若干科技综合体、商业综合体、城市综合体。</w:t>
      </w:r>
    </w:p>
    <w:bookmarkEnd w:id="43"/>
    <w:p w14:paraId="254B0BF3">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51" w:name="_Hlk55316703"/>
      <w:bookmarkStart w:id="52" w:name="_Toc1723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w:t>
      </w:r>
      <w:bookmarkStart w:id="53" w:name="_Hlk6004184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创新升级</w:t>
      </w:r>
      <w:r>
        <w:rPr>
          <w:rFonts w:hint="eastAsia" w:ascii="宋体" w:hAnsi="宋体" w:eastAsia="楷体_GB2312"/>
          <w:b/>
          <w:bCs/>
          <w:kern w:val="0"/>
          <w:szCs w:val="32"/>
        </w:rPr>
        <w:t>绿色</w:t>
      </w:r>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石材产业</w:t>
      </w:r>
      <w:bookmarkEnd w:id="51"/>
      <w:bookmarkEnd w:id="52"/>
    </w:p>
    <w:bookmarkEnd w:id="53"/>
    <w:p w14:paraId="16E5C579">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54" w:name="_Hlk60041860"/>
      <w:r>
        <w:rPr>
          <w:rFonts w:hint="eastAsia" w:ascii="宋体" w:hAnsi="宋体"/>
          <w:b/>
          <w:bCs/>
          <w:color w:val="0D0D0D" w:themeColor="text1" w:themeTint="F2"/>
          <w:szCs w:val="32"/>
          <w14:textFill>
            <w14:solidFill>
              <w14:schemeClr w14:val="tx1">
                <w14:lumMod w14:val="95000"/>
                <w14:lumOff w14:val="5000"/>
              </w14:schemeClr>
            </w14:solidFill>
          </w14:textFill>
        </w:rPr>
        <w:t>加大石材创意设计应用。</w:t>
      </w:r>
      <w:r>
        <w:rPr>
          <w:rFonts w:hint="eastAsia" w:ascii="宋体" w:hAnsi="宋体"/>
          <w:color w:val="0D0D0D" w:themeColor="text1" w:themeTint="F2"/>
          <w:szCs w:val="32"/>
          <w14:textFill>
            <w14:solidFill>
              <w14:schemeClr w14:val="tx1">
                <w14:lumMod w14:val="95000"/>
                <w14:lumOff w14:val="5000"/>
              </w14:schemeClr>
            </w14:solidFill>
          </w14:textFill>
        </w:rPr>
        <w:t>以创意创新为抓手，升级石材产业。主动对接大湾区高端消费市场，引导和支持企业加强与石材设计师、建筑设计师、工艺美术大师等对接合作，推广拓展基于家居、工装、工艺美术、汽车饰件、装饰品等生活消费场景的石材应用。深入推进石材工艺美术大师评选认定工作，特别是中高级工艺美术大师评选认定，提高石材工艺美术大师的社会知名度，提高石材工艺品的附加值。积极推动设立国家级装饰设计师、石雕名师等石材工艺大师评委会，培育创意石材领域的“大师经济”、“工匠精神”。推动云浮市石文化创意产业园建设，引导企业延伸发展石材家装、工艺设计等产业，打造石材创意之城。</w:t>
      </w:r>
    </w:p>
    <w:p w14:paraId="073720FA">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优化产业集群。</w:t>
      </w:r>
      <w:bookmarkStart w:id="55" w:name="_Hlk55316720"/>
      <w:r>
        <w:rPr>
          <w:rFonts w:hint="eastAsia" w:ascii="宋体" w:hAnsi="宋体"/>
          <w:color w:val="0D0D0D" w:themeColor="text1" w:themeTint="F2"/>
          <w:szCs w:val="32"/>
          <w14:textFill>
            <w14:solidFill>
              <w14:schemeClr w14:val="tx1">
                <w14:lumMod w14:val="95000"/>
                <w14:lumOff w14:val="5000"/>
              </w14:schemeClr>
            </w14:solidFill>
          </w14:textFill>
        </w:rPr>
        <w:t>落实《云浮市人民政府办公室关于划定云浮市中心城区石材产业加工禁建区的通知》、《云浮市中心城区石材产业发展规划（</w:t>
      </w:r>
      <w:r>
        <w:rPr>
          <w:rFonts w:ascii="宋体" w:hAnsi="宋体"/>
          <w:color w:val="0D0D0D" w:themeColor="text1" w:themeTint="F2"/>
          <w:szCs w:val="32"/>
          <w14:textFill>
            <w14:solidFill>
              <w14:schemeClr w14:val="tx1">
                <w14:lumMod w14:val="95000"/>
                <w14:lumOff w14:val="5000"/>
              </w14:schemeClr>
            </w14:solidFill>
          </w14:textFill>
        </w:rPr>
        <w:t>2020-2030</w:t>
      </w:r>
      <w:r>
        <w:rPr>
          <w:rFonts w:hint="eastAsia" w:ascii="宋体" w:hAnsi="宋体"/>
          <w:color w:val="0D0D0D" w:themeColor="text1" w:themeTint="F2"/>
          <w:szCs w:val="32"/>
          <w14:textFill>
            <w14:solidFill>
              <w14:schemeClr w14:val="tx1">
                <w14:lumMod w14:val="95000"/>
                <w14:lumOff w14:val="5000"/>
              </w14:schemeClr>
            </w14:solidFill>
          </w14:textFill>
        </w:rPr>
        <w:t>年）》，合理调整石材产业布局，以安塘、腰古、思劳为核心发展区，转变前店后厂和“小散乱”加工现象。</w:t>
      </w:r>
      <w:r>
        <w:rPr>
          <w:rFonts w:hint="eastAsia" w:ascii="宋体" w:hAnsi="宋体"/>
          <w:szCs w:val="32"/>
        </w:rPr>
        <w:t>谋划开发建设新的高标准石材产业园，</w:t>
      </w:r>
      <w:r>
        <w:rPr>
          <w:rFonts w:hint="eastAsia" w:ascii="宋体" w:hAnsi="宋体"/>
          <w:color w:val="0D0D0D" w:themeColor="text1" w:themeTint="F2"/>
          <w:szCs w:val="32"/>
          <w14:textFill>
            <w14:solidFill>
              <w14:schemeClr w14:val="tx1">
                <w14:lumMod w14:val="95000"/>
                <w14:lumOff w14:val="5000"/>
              </w14:schemeClr>
            </w14:solidFill>
          </w14:textFill>
        </w:rPr>
        <w:t>以生产高档石材新产品以及石材制品为重点，不断优化先进开采和石材加工工艺。</w:t>
      </w:r>
      <w:bookmarkEnd w:id="55"/>
      <w:r>
        <w:rPr>
          <w:rFonts w:hint="eastAsia" w:ascii="宋体" w:hAnsi="宋体"/>
          <w:color w:val="0D0D0D" w:themeColor="text1" w:themeTint="F2"/>
          <w:szCs w:val="32"/>
          <w14:textFill>
            <w14:solidFill>
              <w14:schemeClr w14:val="tx1">
                <w14:lumMod w14:val="95000"/>
                <w14:lumOff w14:val="5000"/>
              </w14:schemeClr>
            </w14:solidFill>
          </w14:textFill>
        </w:rPr>
        <w:t>以“入园发展”为抓手，深入实施</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个升企</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小升规</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培育工程，推动骨干石材企业做大做强，培育发展一批规模化生产、设计创新、工艺先进、效益领先的石材加工“专精特新”企业。以云浮国际石材博览交易中心为基础，加快以“贸”为主的石材发展，完善板材市场和荒料市场建设，打造国际石材贸易总部基地。</w:t>
      </w:r>
    </w:p>
    <w:p w14:paraId="3D5C3D0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56" w:name="_Hlk55316814"/>
      <w:r>
        <w:rPr>
          <w:rFonts w:hint="eastAsia" w:ascii="宋体" w:hAnsi="宋体"/>
          <w:b/>
          <w:bCs/>
          <w:color w:val="0D0D0D" w:themeColor="text1" w:themeTint="F2"/>
          <w:szCs w:val="32"/>
          <w14:textFill>
            <w14:solidFill>
              <w14:schemeClr w14:val="tx1">
                <w14:lumMod w14:val="95000"/>
                <w14:lumOff w14:val="5000"/>
              </w14:schemeClr>
            </w14:solidFill>
          </w14:textFill>
        </w:rPr>
        <w:t>加快石材产业创新发展。</w:t>
      </w:r>
      <w:bookmarkEnd w:id="56"/>
      <w:r>
        <w:rPr>
          <w:rFonts w:hint="eastAsia" w:ascii="宋体" w:hAnsi="宋体"/>
          <w:color w:val="0D0D0D" w:themeColor="text1" w:themeTint="F2"/>
          <w:szCs w:val="32"/>
          <w14:textFill>
            <w14:solidFill>
              <w14:schemeClr w14:val="tx1">
                <w14:lumMod w14:val="95000"/>
                <w14:lumOff w14:val="5000"/>
              </w14:schemeClr>
            </w14:solidFill>
          </w14:textFill>
        </w:rPr>
        <w:t>支持实施节能绿色环保生产，创建一批绿色工厂示范点。加快石材协同创新平台建设，加快推进石材智能化示范生产线建设和新产品市场推广力度，推动石材在线雕刻平台建设推广应用。推动石材产业实施技术改造，发挥中科石材创新中心研发优势，促进石材自动化和智能化装备研发，提高企业数控化、智能化水平，引导企业逐步淘汰简单的锯、磨、切等落后石材加工工艺。推进石材产品创新，发展精深加工，引进超薄石材加工先进技术，开发生产具有隔音、防潮、保温性能的高附加值石材产品，</w:t>
      </w:r>
      <w:bookmarkStart w:id="57" w:name="_Hlk55316826"/>
      <w:r>
        <w:rPr>
          <w:rFonts w:hint="eastAsia" w:ascii="宋体" w:hAnsi="宋体"/>
          <w:color w:val="0D0D0D" w:themeColor="text1" w:themeTint="F2"/>
          <w:szCs w:val="32"/>
          <w14:textFill>
            <w14:solidFill>
              <w14:schemeClr w14:val="tx1">
                <w14:lumMod w14:val="95000"/>
                <w14:lumOff w14:val="5000"/>
              </w14:schemeClr>
            </w14:solidFill>
          </w14:textFill>
        </w:rPr>
        <w:t>促进石材加工向“轻、巧、新”方向发展</w:t>
      </w:r>
      <w:bookmarkEnd w:id="57"/>
      <w:r>
        <w:rPr>
          <w:rFonts w:hint="eastAsia" w:ascii="宋体" w:hAnsi="宋体"/>
          <w:color w:val="0D0D0D" w:themeColor="text1" w:themeTint="F2"/>
          <w:szCs w:val="32"/>
          <w14:textFill>
            <w14:solidFill>
              <w14:schemeClr w14:val="tx1">
                <w14:lumMod w14:val="95000"/>
                <w14:lumOff w14:val="5000"/>
              </w14:schemeClr>
            </w14:solidFill>
          </w14:textFill>
        </w:rPr>
        <w:t>，创建全国石材产业知名品牌示范区。</w:t>
      </w:r>
      <w:bookmarkEnd w:id="54"/>
    </w:p>
    <w:p w14:paraId="5266E975">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58" w:name="_Toc1776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w:t>
      </w:r>
      <w:bookmarkStart w:id="59" w:name="_Hlk6004214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提质做优现代服务业</w:t>
      </w:r>
      <w:bookmarkEnd w:id="58"/>
      <w:bookmarkEnd w:id="59"/>
    </w:p>
    <w:p w14:paraId="21279D3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0" w:name="_Hlk60042167"/>
      <w:r>
        <w:rPr>
          <w:rFonts w:hint="eastAsia" w:ascii="宋体" w:hAnsi="宋体"/>
          <w:b/>
          <w:bCs/>
          <w:color w:val="0D0D0D" w:themeColor="text1" w:themeTint="F2"/>
          <w:szCs w:val="32"/>
          <w14:textFill>
            <w14:solidFill>
              <w14:schemeClr w14:val="tx1">
                <w14:lumMod w14:val="95000"/>
                <w14:lumOff w14:val="5000"/>
              </w14:schemeClr>
            </w14:solidFill>
          </w14:textFill>
        </w:rPr>
        <w:t>积极发展全域旅游业。</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做优做强康养旅游，</w:t>
      </w:r>
      <w:r>
        <w:rPr>
          <w:rFonts w:hint="eastAsia" w:ascii="仿宋_GB2312" w:hAnsi="仿宋_GB2312" w:cs="仿宋_GB2312"/>
          <w:bCs/>
          <w:color w:val="000000"/>
          <w:szCs w:val="32"/>
        </w:rPr>
        <w:t>推进大金山旅游康养产业园、蟠龙天湖城市精品公园、南山河“一河两岸”商业休闲产业园、水东村文旅产业园建设，打造一批精品村、特色村</w:t>
      </w:r>
      <w:r>
        <w:rPr>
          <w:rFonts w:hint="eastAsia" w:ascii="仿宋_GB2312"/>
          <w:szCs w:val="32"/>
        </w:rPr>
        <w:t>，</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打造大湾区慢生活生态康养休闲区和广东名山。</w:t>
      </w:r>
      <w:r>
        <w:rPr>
          <w:rFonts w:hint="eastAsia" w:ascii="仿宋_GB2312"/>
          <w:szCs w:val="32"/>
        </w:rPr>
        <w:t>大力创建国家级、省级全域旅游示范区，聚力把云城打造成粤港澳大湾区的康养产业高地和休闲旅游目的地。</w:t>
      </w:r>
      <w:r>
        <w:rPr>
          <w:rFonts w:hint="eastAsia" w:ascii="宋体" w:hAnsi="宋体"/>
          <w:szCs w:val="32"/>
        </w:rPr>
        <w:t>以</w:t>
      </w:r>
      <w:r>
        <w:rPr>
          <w:rFonts w:hint="eastAsia" w:ascii="宋体" w:hAnsi="宋体"/>
          <w:color w:val="0D0D0D" w:themeColor="text1" w:themeTint="F2"/>
          <w:szCs w:val="32"/>
          <w14:textFill>
            <w14:solidFill>
              <w14:schemeClr w14:val="tx1">
                <w14:lumMod w14:val="95000"/>
                <w14:lumOff w14:val="5000"/>
              </w14:schemeClr>
            </w14:solidFill>
          </w14:textFill>
        </w:rPr>
        <w:t>南药康养为核心，加快建设南药生态旅游公路、南药主题乡村公园、南药养生度假村等旅游项目，全力打造南片区前锋、南盛为康养生态旅游目的地。发挥生态优势，推动旅游业与各领域深度融合，重点打造“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文化”“旅游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体育”“旅游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农业”“旅游</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工业”等新产品，围绕石文化、国学文化、康养产业和红色基因，建设一批特色小镇和康养综合体。打造“粤菜师傅+旅游”模式，继续深入推进乡村美食节系列活动，同时利用前锋镇大江头村“粤菜师傅”特色村品牌，建立“乡村饮食文化展馆”、“粤菜师傅”食材之粤菜师傅农副产品展销长廊、粤菜师傅农副产品体验馆等，打造乡村粤菜美食旅游景点。创设独具云城色彩的节事活动体系，打响云城全域旅游品牌。积极推进旅游线路建设，谋划并加快云城区云城街新中村委至前锋镇崖楼村委骑行道等乡村旅游线路项目建设。</w:t>
      </w:r>
    </w:p>
    <w:p w14:paraId="5CA39771">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大力发展现代物流业。</w:t>
      </w:r>
      <w:r>
        <w:rPr>
          <w:rFonts w:hint="eastAsia" w:ascii="宋体" w:hAnsi="宋体"/>
          <w:color w:val="0D0D0D" w:themeColor="text1" w:themeTint="F2"/>
          <w:szCs w:val="32"/>
          <w14:textFill>
            <w14:solidFill>
              <w14:schemeClr w14:val="tx1">
                <w14:lumMod w14:val="95000"/>
                <w14:lumOff w14:val="5000"/>
              </w14:schemeClr>
            </w14:solidFill>
          </w14:textFill>
        </w:rPr>
        <w:t>以“菜篮子”配送中心为核心，集中规划现代商贸交易展览区、氢能汽配物流区、金属制品物流区、综合科技服务区、综合配套服务区等，建设“一核五区”广云现代物流产业园，完善物流基地和物流通道节点建设，着力打造湾区物流“配送地”。推进制造业与物流业联动发展，规划建设石材、钢铁物流园。依托区域铁路网络，发展面向珠江—西江经济带和西南省份的大宗商品物流。加快建立冷链物流体系，构建特色中高档农产品和欠发达地区农产品直供通道，推进冷链物流基地项目建设。</w:t>
      </w:r>
    </w:p>
    <w:bookmarkEnd w:id="60"/>
    <w:p w14:paraId="55B8C17D">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1" w:name="_Hlk55317011"/>
      <w:bookmarkStart w:id="62" w:name="_Hlk60042215"/>
      <w:r>
        <w:rPr>
          <w:rFonts w:hint="eastAsia" w:ascii="宋体" w:hAnsi="宋体"/>
          <w:b/>
          <w:bCs/>
          <w:color w:val="0D0D0D" w:themeColor="text1" w:themeTint="F2"/>
          <w:szCs w:val="32"/>
          <w14:textFill>
            <w14:solidFill>
              <w14:schemeClr w14:val="tx1">
                <w14:lumMod w14:val="95000"/>
                <w14:lumOff w14:val="5000"/>
              </w14:schemeClr>
            </w14:solidFill>
          </w14:textFill>
        </w:rPr>
        <w:t>培育发展会展博览业。</w:t>
      </w:r>
      <w:bookmarkEnd w:id="61"/>
      <w:bookmarkStart w:id="63" w:name="_Hlk55317002"/>
      <w:r>
        <w:rPr>
          <w:rFonts w:hint="eastAsia" w:ascii="宋体" w:hAnsi="宋体"/>
          <w:color w:val="0D0D0D" w:themeColor="text1" w:themeTint="F2"/>
          <w:szCs w:val="32"/>
          <w14:textFill>
            <w14:solidFill>
              <w14:schemeClr w14:val="tx1">
                <w14:lumMod w14:val="95000"/>
                <w14:lumOff w14:val="5000"/>
              </w14:schemeClr>
            </w14:solidFill>
          </w14:textFill>
        </w:rPr>
        <w:t>围绕金属智造、健康医药、绿色石材、现代农业等优势产业，积极发展会展博览，为企业“走出去”和“请进来”提供平台。</w:t>
      </w:r>
      <w:bookmarkEnd w:id="63"/>
      <w:r>
        <w:rPr>
          <w:rFonts w:hint="eastAsia" w:ascii="宋体" w:hAnsi="宋体"/>
          <w:color w:val="0D0D0D" w:themeColor="text1" w:themeTint="F2"/>
          <w:szCs w:val="32"/>
          <w14:textFill>
            <w14:solidFill>
              <w14:schemeClr w14:val="tx1">
                <w14:lumMod w14:val="95000"/>
                <w14:lumOff w14:val="5000"/>
              </w14:schemeClr>
            </w14:solidFill>
          </w14:textFill>
        </w:rPr>
        <w:t>加快产业场馆建设，</w:t>
      </w:r>
      <w:bookmarkStart w:id="64" w:name="_Hlk60042250"/>
      <w:r>
        <w:rPr>
          <w:rFonts w:hint="eastAsia" w:ascii="宋体" w:hAnsi="宋体"/>
          <w:szCs w:val="32"/>
        </w:rPr>
        <w:t>全力办好石展会、石文化节和南药产业发展大会，</w:t>
      </w:r>
      <w:r>
        <w:rPr>
          <w:rFonts w:hint="eastAsia" w:ascii="仿宋_GB2312"/>
          <w:szCs w:val="32"/>
          <w:shd w:val="clear" w:color="auto" w:fill="FFFFFF"/>
        </w:rPr>
        <w:t>依托石文化创意长廊特色风貌带，塑造“石艺之都”品牌形象，讲好“石材故事”，谋划建设石博园。</w:t>
      </w:r>
      <w:r>
        <w:rPr>
          <w:rFonts w:hint="eastAsia" w:ascii="宋体" w:hAnsi="宋体"/>
          <w:szCs w:val="32"/>
        </w:rPr>
        <w:t>培育发展高端</w:t>
      </w:r>
      <w:r>
        <w:rPr>
          <w:rFonts w:hint="eastAsia" w:ascii="宋体" w:hAnsi="宋体"/>
          <w:color w:val="0D0D0D" w:themeColor="text1" w:themeTint="F2"/>
          <w:szCs w:val="32"/>
          <w14:textFill>
            <w14:solidFill>
              <w14:schemeClr w14:val="tx1">
                <w14:lumMod w14:val="95000"/>
                <w14:lumOff w14:val="5000"/>
              </w14:schemeClr>
            </w14:solidFill>
          </w14:textFill>
        </w:rPr>
        <w:t>核心展会、专业性展会及文化特色展会。大力发展广告、策划、咨询、展台搭建等会展配套服务业，提升会展业整体竞争力，使会展经济起到“助推器”作用。</w:t>
      </w:r>
      <w:bookmarkEnd w:id="62"/>
      <w:bookmarkEnd w:id="64"/>
      <w:bookmarkStart w:id="65" w:name="_Hlk60042271"/>
    </w:p>
    <w:bookmarkEnd w:id="65"/>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14:paraId="67A9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19" w:type="dxa"/>
            <w:vAlign w:val="center"/>
          </w:tcPr>
          <w:p w14:paraId="740F6331">
            <w:pPr>
              <w:jc w:val="center"/>
              <w:rPr>
                <w:rFonts w:ascii="黑体" w:hAnsi="黑体" w:eastAsia="黑体"/>
                <w:sz w:val="24"/>
              </w:rPr>
            </w:pPr>
            <w:r>
              <w:rPr>
                <w:rFonts w:hint="eastAsia" w:ascii="黑体" w:hAnsi="黑体" w:eastAsia="黑体"/>
                <w:sz w:val="24"/>
              </w:rPr>
              <w:t>专栏4“十四五”时期我区现代服务业重点项目</w:t>
            </w:r>
          </w:p>
        </w:tc>
      </w:tr>
      <w:tr w14:paraId="2B22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219" w:type="dxa"/>
          </w:tcPr>
          <w:p w14:paraId="1F333FF5">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1.云浮市大金山康养旅游区建设项目：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核心区规划建设六个景区:综合服务中心、矿山公园、樱花谷、动力伞基地、露营基地、禅修谷、影视基地、高山生态度假村、原始森林公园等特色景点。</w:t>
            </w:r>
          </w:p>
          <w:p w14:paraId="22178CFE">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2.云城区南药生态康养旅游项目：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规划云城区南部片区前锋镇、南盛镇建设南药康体养生园区、万亩南药标准化种植研学基地、南药专题旅游自然教育示范区、山林竹海生态保育区、果香花海观光区、“朝阳库渠”农业文化遗产示范区。</w:t>
            </w:r>
          </w:p>
          <w:p w14:paraId="341328ED">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3.云城区腰古镇岭南水东国学旅游项目：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对腰古镇水东古村588座明清古建筑进行修复，同时完善古村周边道路，恢复新兴江至水东古水系河道，建传承国学理学文化，促进地方经济发展。</w:t>
            </w:r>
          </w:p>
          <w:p w14:paraId="76DE543C">
            <w:pPr>
              <w:adjustRightInd w:val="0"/>
              <w:snapToGrid w:val="0"/>
              <w:spacing w:line="360" w:lineRule="auto"/>
              <w:rPr>
                <w:rFonts w:ascii="宋体" w:hAnsi="宋体" w:cs="仿宋_GB2312"/>
                <w:b/>
                <w:bCs/>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4.云浮·吾悦广场：</w:t>
            </w:r>
            <w:r>
              <w:rPr>
                <w:rFonts w:hint="eastAsia" w:ascii="宋体" w:hAnsi="宋体" w:cs="仿宋_GB2312"/>
                <w:color w:val="0D0D0D" w:themeColor="text1" w:themeTint="F2"/>
                <w:sz w:val="24"/>
                <w14:textFill>
                  <w14:solidFill>
                    <w14:schemeClr w14:val="tx1">
                      <w14:lumMod w14:val="95000"/>
                      <w14:lumOff w14:val="5000"/>
                    </w14:schemeClr>
                  </w14:solidFill>
                </w14:textFill>
              </w:rPr>
              <w:t>占地268亩分8期建设。建设高层住宅、商业楼、幼儿园及公共配套设施等。</w:t>
            </w:r>
          </w:p>
          <w:p w14:paraId="760F0F91">
            <w:pPr>
              <w:adjustRightInd w:val="0"/>
              <w:snapToGrid w:val="0"/>
              <w:spacing w:line="360" w:lineRule="auto"/>
              <w:rPr>
                <w:rFonts w:ascii="宋体" w:hAnsi="宋体" w:cs="仿宋_GB2312"/>
                <w:b/>
                <w:bCs/>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5.云浮市新世纪动漫水世界：</w:t>
            </w:r>
            <w:r>
              <w:rPr>
                <w:rFonts w:hint="eastAsia" w:ascii="宋体" w:hAnsi="宋体" w:cs="仿宋_GB2312"/>
                <w:color w:val="0D0D0D" w:themeColor="text1" w:themeTint="F2"/>
                <w:sz w:val="24"/>
                <w14:textFill>
                  <w14:solidFill>
                    <w14:schemeClr w14:val="tx1">
                      <w14:lumMod w14:val="95000"/>
                      <w14:lumOff w14:val="5000"/>
                    </w14:schemeClr>
                  </w14:solidFill>
                </w14:textFill>
              </w:rPr>
              <w:t>建设水上透明滚筒、水上电动碰碰车、支架水池、太空球、充气滑梯等多种游乐设施。</w:t>
            </w:r>
          </w:p>
          <w:p w14:paraId="56AAB397">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
                <w:b/>
                <w:bCs/>
                <w:color w:val="0D0D0D" w:themeColor="text1" w:themeTint="F2"/>
                <w:sz w:val="24"/>
                <w14:textFill>
                  <w14:solidFill>
                    <w14:schemeClr w14:val="tx1">
                      <w14:lumMod w14:val="95000"/>
                      <w14:lumOff w14:val="5000"/>
                    </w14:schemeClr>
                  </w14:solidFill>
                </w14:textFill>
              </w:rPr>
              <w:t>6.</w:t>
            </w:r>
            <w:r>
              <w:rPr>
                <w:rFonts w:hint="eastAsia" w:ascii="宋体" w:hAnsi="宋体" w:cs="楷体_GB2312"/>
                <w:b/>
                <w:bCs/>
                <w:color w:val="0D0D0D" w:themeColor="text1" w:themeTint="F2"/>
                <w:sz w:val="24"/>
                <w14:textFill>
                  <w14:solidFill>
                    <w14:schemeClr w14:val="tx1">
                      <w14:lumMod w14:val="95000"/>
                      <w14:lumOff w14:val="5000"/>
                    </w14:schemeClr>
                  </w14:solidFill>
                </w14:textFill>
              </w:rPr>
              <w:t>金晟达物流项目：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建设三层综合楼(设办公室，员工宿舍，食堂，驾驶员休息室、车辆调度室)、成品中转库房（80000平方米)、停车区（30000平方米)、汽修车间、备品配件仓库等。</w:t>
            </w:r>
          </w:p>
          <w:p w14:paraId="5B5B7DC8">
            <w:pPr>
              <w:adjustRightInd w:val="0"/>
              <w:snapToGrid w:val="0"/>
              <w:spacing w:line="360" w:lineRule="auto"/>
              <w:rPr>
                <w:rFonts w:ascii="宋体" w:hAnsi="宋体" w:cs="楷体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7.云浮市农产品综合批发市场项目：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建设管理与检测中心、库房区、餐饮区、鱼类屠宰区、禽类屠宰区、畜类屠宰区、交易区、配电房及其他基础设施配套工程等。</w:t>
            </w:r>
          </w:p>
        </w:tc>
      </w:tr>
    </w:tbl>
    <w:p w14:paraId="453F58D3">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66" w:name="_Toc2946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第五节</w:t>
      </w:r>
      <w:bookmarkStart w:id="67" w:name="_Hlk6004234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大力实施质量提升工程</w:t>
      </w:r>
      <w:bookmarkEnd w:id="66"/>
      <w:bookmarkEnd w:id="67"/>
    </w:p>
    <w:p w14:paraId="3147EA2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bookmarkStart w:id="68" w:name="_Hlk60042363"/>
      <w:r>
        <w:rPr>
          <w:rFonts w:hint="eastAsia" w:ascii="宋体" w:hAnsi="宋体"/>
          <w:b/>
          <w:bCs/>
          <w:color w:val="0D0D0D" w:themeColor="text1" w:themeTint="F2"/>
          <w:szCs w:val="32"/>
          <w14:textFill>
            <w14:solidFill>
              <w14:schemeClr w14:val="tx1">
                <w14:lumMod w14:val="95000"/>
                <w14:lumOff w14:val="5000"/>
              </w14:schemeClr>
            </w14:solidFill>
          </w14:textFill>
        </w:rPr>
        <w:t>加强企业质量能力建设。</w:t>
      </w:r>
      <w:r>
        <w:rPr>
          <w:rFonts w:hint="eastAsia" w:ascii="宋体" w:hAnsi="宋体"/>
          <w:color w:val="0D0D0D" w:themeColor="text1" w:themeTint="F2"/>
          <w:szCs w:val="32"/>
          <w14:textFill>
            <w14:solidFill>
              <w14:schemeClr w14:val="tx1">
                <w14:lumMod w14:val="95000"/>
                <w14:lumOff w14:val="5000"/>
              </w14:schemeClr>
            </w14:solidFill>
          </w14:textFill>
        </w:rPr>
        <w:t>深入开展质量提升行动，激发市场主体追求高质量的内生动力，充分发挥市场配置资源决定性作用和更好发挥政府作用，推动质量共建共治共享。支持市场主体建立完善全面质量管理体系和重大质量事故应急处置机制，落实关键岗位质量责任，加强供应链质量管理，推广应用科学质量管理工具、模式、方法。鼓励金融机构将企业质量水平、标准水平、品牌价值等纳入企业融资授信重要依据，引导带动更多社会资本支持企业质量提升。鼓励有技术能力的企业主导或参与国家、行业、地方标准的制（修）订，助力“广东质量”新标杆打造。</w:t>
      </w:r>
    </w:p>
    <w:p w14:paraId="6C903E8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推进质量链产业链深度融合。</w:t>
      </w:r>
      <w:r>
        <w:rPr>
          <w:rFonts w:hint="eastAsia" w:ascii="宋体" w:hAnsi="宋体"/>
          <w:color w:val="0D0D0D" w:themeColor="text1" w:themeTint="F2"/>
          <w:szCs w:val="32"/>
          <w14:textFill>
            <w14:solidFill>
              <w14:schemeClr w14:val="tx1">
                <w14:lumMod w14:val="95000"/>
                <w14:lumOff w14:val="5000"/>
              </w14:schemeClr>
            </w14:solidFill>
          </w14:textFill>
        </w:rPr>
        <w:t>聚焦质量链提升产业链，以产业集群为基础，开展重点产品与国内外标杆产品的执行标准和质量指标“双比对、双提升”，深入分析产品标准、质量、品牌和技术性贸易措施等，指导完善产业链标准体系、质量管理体系，推动产业集群向产业链中高端提质升级。推动石材、南药等优势特色行业建立行业标准，进而上升成为国家标准。提高质量监督抽查覆盖率，加强质量安全风险防控。支持行业协会、商会等社会组织和产业联盟组织开展质量管理培训，提升成员质量责任意识和质量管理水平。</w:t>
      </w:r>
      <w:bookmarkEnd w:id="68"/>
    </w:p>
    <w:p w14:paraId="11A27CCD">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69" w:name="_Toc2847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第六节 加快数字化发展</w:t>
      </w:r>
      <w:bookmarkEnd w:id="69"/>
    </w:p>
    <w:p w14:paraId="4180F72A">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培育发展数字经济。</w:t>
      </w:r>
      <w:r>
        <w:rPr>
          <w:rFonts w:hint="eastAsia" w:ascii="宋体" w:hAnsi="宋体"/>
          <w:color w:val="0D0D0D" w:themeColor="text1" w:themeTint="F2"/>
          <w:szCs w:val="32"/>
          <w14:textFill>
            <w14:solidFill>
              <w14:schemeClr w14:val="tx1">
                <w14:lumMod w14:val="95000"/>
                <w14:lumOff w14:val="5000"/>
              </w14:schemeClr>
            </w14:solidFill>
          </w14:textFill>
        </w:rPr>
        <w:t>充分利用新一代数字技术，推动产业数字化转型升级。积极发展智能制造，强化智能化基础制造与成套装备、智能制造服务等高端供给，持续完善工业互联网体系，打造一批智能工厂。推进农业生产、农产品加工和流通环节的数字化转型，布局发展智慧农业。促进服务业数字化发展，加强金融、教育、医疗、文化、旅游等数字应用场景建设，构建现代服务业发展新体系。积极推进数字产业化，深化新一代信息技术在各领域的融合集成创新应用，大力培育大数据、人工智能、5G应用等新的增长点。</w:t>
      </w:r>
    </w:p>
    <w:p w14:paraId="380B5B7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加速构建数字社会。</w:t>
      </w:r>
      <w:r>
        <w:rPr>
          <w:rFonts w:hint="eastAsia" w:ascii="宋体" w:hAnsi="宋体"/>
          <w:color w:val="0D0D0D" w:themeColor="text1" w:themeTint="F2"/>
          <w:szCs w:val="32"/>
          <w14:textFill>
            <w14:solidFill>
              <w14:schemeClr w14:val="tx1">
                <w14:lumMod w14:val="95000"/>
                <w14:lumOff w14:val="5000"/>
              </w14:schemeClr>
            </w14:solidFill>
          </w14:textFill>
        </w:rPr>
        <w:t>加快数字政府、数字公共服务、智慧城市建设，提升科学决策、城市管理、社会生活等数字化智能化水平。持续推动“数字政府”改革，构建“数字政府”技术支撑体系，以改革的思路和创新的举措，建立大数据驱动的政务信息化服务新模式，全面推行“指尖办理”和政务服务一体机、政务服务大厅相融合的高效民生办事服务模式，实现高频事项最多跑一趟，乃至“零跑动”；建立管运分离、政企合作、本地运行的管理架构，推进信息资源整合和深度开发，消除各类信息孤岛，促进政务信息共享共用和业务流程协同再造，完善创新融合、多方共治、一体化发展的“数字政府”业务体系；推动政务系统应用信创技术，以应用促进省市共建信创产业和服务业的加速发展。拓展数字化公共服务，大力发展智慧医疗、智慧教育、智慧文旅、智慧农业。加快建设新型智慧城市，推进城市公共设施与5G网络、物联网、传感技术融合，重点发展智慧交通、智慧城管、智慧安防等领域，实现城市治理现代化。加强数字技能普及培训，提升全民数字素养。</w:t>
      </w:r>
    </w:p>
    <w:p w14:paraId="3013F11A">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70" w:name="_Toc18276"/>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第五章 优先发展农业农村，全面推进乡村振兴</w:t>
      </w:r>
      <w:bookmarkEnd w:id="70"/>
    </w:p>
    <w:p w14:paraId="16B5D11A">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把解决好“三农”问题作为全党工作重中之重，举全区之力推动乡村振兴，促进农业高质高效、乡村宜居宜业、农民富裕富足，聚焦发展精细农业、建设精美农村、培养精勤农民，着力探索具有云城特色的乡村振兴新模式。</w:t>
      </w:r>
    </w:p>
    <w:p w14:paraId="200502E1">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1" w:name="_Toc102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聚焦农民“富足度”发展现代特色农业</w:t>
      </w:r>
      <w:bookmarkEnd w:id="71"/>
    </w:p>
    <w:p w14:paraId="6308251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大力发展特色南药产业。</w:t>
      </w:r>
      <w:r>
        <w:rPr>
          <w:rFonts w:hint="eastAsia" w:ascii="宋体" w:hAnsi="宋体"/>
          <w:color w:val="0D0D0D" w:themeColor="text1" w:themeTint="F2"/>
          <w:szCs w:val="32"/>
          <w14:textFill>
            <w14:solidFill>
              <w14:schemeClr w14:val="tx1">
                <w14:lumMod w14:val="95000"/>
                <w14:lumOff w14:val="5000"/>
              </w14:schemeClr>
            </w14:solidFill>
          </w14:textFill>
        </w:rPr>
        <w:t>落实推进南药发展计划，高标准</w:t>
      </w:r>
      <w:r>
        <w:rPr>
          <w:rFonts w:hint="eastAsia" w:ascii="宋体" w:hAnsi="宋体"/>
          <w:szCs w:val="32"/>
        </w:rPr>
        <w:t>建设国家现代农业产业园、国</w:t>
      </w:r>
      <w:r>
        <w:rPr>
          <w:rFonts w:hint="eastAsia" w:ascii="宋体" w:hAnsi="宋体"/>
          <w:color w:val="0D0D0D" w:themeColor="text1" w:themeTint="F2"/>
          <w:szCs w:val="32"/>
          <w14:textFill>
            <w14:solidFill>
              <w14:schemeClr w14:val="tx1">
                <w14:lumMod w14:val="95000"/>
                <w14:lumOff w14:val="5000"/>
              </w14:schemeClr>
            </w14:solidFill>
          </w14:textFill>
        </w:rPr>
        <w:t>家级南药种子种苗繁育中心和南药种质资源库，配合市打造南药产业集群和南药、农产品冷链物流两个优势产区现代农业产业园，以打造“南国特色名城，现代南药之都”为导向，引领南药产业转型升级，把云城打造成为全国重要南药生产、加工基地与发展保护区</w:t>
      </w:r>
      <w:r>
        <w:rPr>
          <w:rFonts w:hint="eastAsia" w:ascii="宋体" w:hAnsi="宋体" w:cs="仿宋_GB2312"/>
          <w:color w:val="0D0D0D" w:themeColor="text1" w:themeTint="F2"/>
          <w:szCs w:val="32"/>
          <w14:textFill>
            <w14:solidFill>
              <w14:schemeClr w14:val="tx1">
                <w14:lumMod w14:val="95000"/>
                <w14:lumOff w14:val="5000"/>
              </w14:schemeClr>
            </w14:solidFill>
          </w14:textFill>
        </w:rPr>
        <w:t>、</w:t>
      </w:r>
      <w:r>
        <w:rPr>
          <w:rStyle w:val="43"/>
          <w:rFonts w:hint="eastAsia" w:ascii="宋体" w:hAnsi="宋体" w:cs="仿宋_GB2312"/>
          <w:color w:val="0D0D0D" w:themeColor="text1" w:themeTint="F2"/>
          <w:szCs w:val="32"/>
          <w14:textFill>
            <w14:solidFill>
              <w14:schemeClr w14:val="tx1">
                <w14:lumMod w14:val="95000"/>
                <w14:lumOff w14:val="5000"/>
              </w14:schemeClr>
            </w14:solidFill>
          </w14:textFill>
        </w:rPr>
        <w:t>“中国南药产业文化之都、中国药膳文化之都”和“中国南药标准化种植示范基地”、“中国南药创新加工聚集地”。</w:t>
      </w:r>
      <w:r>
        <w:rPr>
          <w:rFonts w:hint="eastAsia" w:ascii="宋体" w:hAnsi="宋体"/>
          <w:color w:val="0D0D0D" w:themeColor="text1" w:themeTint="F2"/>
          <w:szCs w:val="32"/>
          <w14:textFill>
            <w14:solidFill>
              <w14:schemeClr w14:val="tx1">
                <w14:lumMod w14:val="95000"/>
                <w14:lumOff w14:val="5000"/>
              </w14:schemeClr>
            </w14:solidFill>
          </w14:textFill>
        </w:rPr>
        <w:t>加快推进省市共建生物医药产业园建设，谋划建设禅医南药产业基地，巩固南药产业化种植基础，鼓励前锋、南盛为核心辐射发展大宗品种药材种植，推动发展定制药园、经典名方、院内制剂等医药产业新业态。加大中药资源保护力度，建设野生中药资源保护区和野生药材繁育基地。大力发展道地药材产地初加工，提高中药现代加工水平。</w:t>
      </w:r>
    </w:p>
    <w:p w14:paraId="73B4A593">
      <w:pPr>
        <w:spacing w:line="600" w:lineRule="exact"/>
        <w:ind w:firstLine="643" w:firstLineChars="200"/>
        <w:rPr>
          <w:rFonts w:ascii="宋体" w:hAnsi="宋体"/>
          <w:color w:val="0D0D0D" w:themeColor="text1" w:themeTint="F2"/>
          <w:szCs w:val="32"/>
          <w14:textFill>
            <w14:solidFill>
              <w14:schemeClr w14:val="tx1">
                <w14:lumMod w14:val="95000"/>
                <w14:lumOff w14:val="5000"/>
              </w14:schemeClr>
            </w14:solidFill>
          </w14:textFill>
        </w:rPr>
      </w:pPr>
      <w:r>
        <w:rPr>
          <w:rFonts w:ascii="宋体" w:hAnsi="宋体"/>
          <w:b/>
          <w:bCs/>
          <w:color w:val="0D0D0D" w:themeColor="text1" w:themeTint="F2"/>
          <w:szCs w:val="32"/>
          <w14:textFill>
            <w14:solidFill>
              <w14:schemeClr w14:val="tx1">
                <w14:lumMod w14:val="95000"/>
                <w14:lumOff w14:val="5000"/>
              </w14:schemeClr>
            </w14:solidFill>
          </w14:textFill>
        </w:rPr>
        <w:t>优化发展现代花卉苗木产业。</w:t>
      </w:r>
      <w:r>
        <w:rPr>
          <w:rFonts w:hint="eastAsia" w:ascii="宋体" w:hAnsi="宋体"/>
          <w:szCs w:val="32"/>
        </w:rPr>
        <w:t>加快云浮（云城）花卉产业园建设，创建省级现代农业（花卉）产业园。</w:t>
      </w:r>
      <w:r>
        <w:rPr>
          <w:rFonts w:hint="eastAsia" w:ascii="宋体" w:hAnsi="宋体"/>
          <w:color w:val="0D0D0D" w:themeColor="text1" w:themeTint="F2"/>
          <w:szCs w:val="32"/>
          <w14:textFill>
            <w14:solidFill>
              <w14:schemeClr w14:val="tx1">
                <w14:lumMod w14:val="95000"/>
                <w14:lumOff w14:val="5000"/>
              </w14:schemeClr>
            </w14:solidFill>
          </w14:textFill>
        </w:rPr>
        <w:t>建设永盛农业生态园、仁善田园综合体、腰古镇双稳村药菊园以及益农兰花基地。以前锋镇为核心区,优化整合全区花卉种植、加工、销售、观光、康养等资源，着力打造集园艺花卉生产、物流交易、生态休闲观光功能于一体的现代花卉产业园。发展花卉精深加工产品，开发花卉食品、化妆品等新产品，培育一批花卉苗木知名品牌。发挥前锋益农兰花、永盛发财树等品牌引领带动作用，培育一批花卉知名品牌，吸引顺德陈村、广州芳村花卉市场转移到云城落户。</w:t>
      </w:r>
    </w:p>
    <w:p w14:paraId="6BD4E382">
      <w:pPr>
        <w:adjustRightInd w:val="0"/>
        <w:snapToGrid w:val="0"/>
        <w:spacing w:line="600" w:lineRule="exact"/>
        <w:ind w:firstLine="643" w:firstLineChars="20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全力发展特色果蔬产业。</w:t>
      </w:r>
      <w:r>
        <w:rPr>
          <w:rFonts w:hint="eastAsia" w:ascii="宋体" w:hAnsi="宋体"/>
          <w:color w:val="0D0D0D" w:themeColor="text1" w:themeTint="F2"/>
          <w:szCs w:val="32"/>
          <w14:textFill>
            <w14:solidFill>
              <w14:schemeClr w14:val="tx1">
                <w14:lumMod w14:val="95000"/>
                <w14:lumOff w14:val="5000"/>
              </w14:schemeClr>
            </w14:solidFill>
          </w14:textFill>
        </w:rPr>
        <w:t>加快建设粤港澳大湾区“菜篮子”配送中心，致力打造大湾区北岸农产品物流配送基地。</w:t>
      </w:r>
      <w:r>
        <w:rPr>
          <w:rFonts w:hint="eastAsia" w:ascii="宋体" w:hAnsi="宋体"/>
          <w:szCs w:val="32"/>
        </w:rPr>
        <w:t>创建省级蔬菜、茶叶等农业产业园,推进大型生猪规模化养殖。大力建</w:t>
      </w:r>
      <w:r>
        <w:rPr>
          <w:rFonts w:hint="eastAsia" w:ascii="宋体" w:hAnsi="宋体"/>
          <w:color w:val="0D0D0D" w:themeColor="text1" w:themeTint="F2"/>
          <w:szCs w:val="32"/>
          <w14:textFill>
            <w14:solidFill>
              <w14:schemeClr w14:val="tx1">
                <w14:lumMod w14:val="95000"/>
                <w14:lumOff w14:val="5000"/>
              </w14:schemeClr>
            </w14:solidFill>
          </w14:textFill>
        </w:rPr>
        <w:t>设农业品牌，积极申报全国名特优新产品3个，引导辖区农产品生产企业申报无公害食用农产品、有机农产品、绿色食品、国家地理标志保护农产品等品牌称号认证，力争“十四五”期间“三品一标”认证数量达到10个，大力建设粤字号农产品5个。加强产销对接，强化</w:t>
      </w:r>
      <w:r>
        <w:rPr>
          <w:rFonts w:ascii="宋体" w:hAnsi="宋体"/>
          <w:color w:val="0D0D0D" w:themeColor="text1" w:themeTint="F2"/>
          <w:szCs w:val="32"/>
          <w14:textFill>
            <w14:solidFill>
              <w14:schemeClr w14:val="tx1">
                <w14:lumMod w14:val="95000"/>
                <w14:lumOff w14:val="5000"/>
              </w14:schemeClr>
            </w14:solidFill>
          </w14:textFill>
        </w:rPr>
        <w:t>与电商平台合作，加大宣传推介，</w:t>
      </w:r>
      <w:r>
        <w:rPr>
          <w:rFonts w:hint="eastAsia" w:ascii="宋体" w:hAnsi="宋体"/>
          <w:color w:val="0D0D0D" w:themeColor="text1" w:themeTint="F2"/>
          <w:szCs w:val="32"/>
          <w14:textFill>
            <w14:solidFill>
              <w14:schemeClr w14:val="tx1">
                <w14:lumMod w14:val="95000"/>
                <w14:lumOff w14:val="5000"/>
              </w14:schemeClr>
            </w14:solidFill>
          </w14:textFill>
        </w:rPr>
        <w:t>争创</w:t>
      </w:r>
      <w:r>
        <w:rPr>
          <w:rFonts w:ascii="宋体" w:hAnsi="宋体"/>
          <w:color w:val="0D0D0D" w:themeColor="text1" w:themeTint="F2"/>
          <w:szCs w:val="32"/>
          <w14:textFill>
            <w14:solidFill>
              <w14:schemeClr w14:val="tx1">
                <w14:lumMod w14:val="95000"/>
                <w14:lumOff w14:val="5000"/>
              </w14:schemeClr>
            </w14:solidFill>
          </w14:textFill>
        </w:rPr>
        <w:t>一批蔬</w:t>
      </w:r>
      <w:r>
        <w:rPr>
          <w:rFonts w:hint="eastAsia" w:ascii="宋体" w:hAnsi="宋体"/>
          <w:color w:val="0D0D0D" w:themeColor="text1" w:themeTint="F2"/>
          <w:szCs w:val="32"/>
          <w14:textFill>
            <w14:solidFill>
              <w14:schemeClr w14:val="tx1">
                <w14:lumMod w14:val="95000"/>
                <w14:lumOff w14:val="5000"/>
              </w14:schemeClr>
            </w14:solidFill>
          </w14:textFill>
        </w:rPr>
        <w:t>果</w:t>
      </w:r>
      <w:r>
        <w:rPr>
          <w:rFonts w:ascii="宋体" w:hAnsi="宋体"/>
          <w:color w:val="0D0D0D" w:themeColor="text1" w:themeTint="F2"/>
          <w:szCs w:val="32"/>
          <w14:textFill>
            <w14:solidFill>
              <w14:schemeClr w14:val="tx1">
                <w14:lumMod w14:val="95000"/>
                <w14:lumOff w14:val="5000"/>
              </w14:schemeClr>
            </w14:solidFill>
          </w14:textFill>
        </w:rPr>
        <w:t>产品</w:t>
      </w:r>
      <w:r>
        <w:rPr>
          <w:rFonts w:hint="eastAsia" w:ascii="宋体" w:hAnsi="宋体"/>
          <w:color w:val="0D0D0D" w:themeColor="text1" w:themeTint="F2"/>
          <w:szCs w:val="32"/>
          <w14:textFill>
            <w14:solidFill>
              <w14:schemeClr w14:val="tx1">
                <w14:lumMod w14:val="95000"/>
                <w14:lumOff w14:val="5000"/>
              </w14:schemeClr>
            </w14:solidFill>
          </w14:textFill>
        </w:rPr>
        <w:t>品牌</w:t>
      </w:r>
      <w:r>
        <w:rPr>
          <w:rFonts w:ascii="宋体" w:hAnsi="宋体"/>
          <w:color w:val="0D0D0D" w:themeColor="text1" w:themeTint="F2"/>
          <w:szCs w:val="32"/>
          <w14:textFill>
            <w14:solidFill>
              <w14:schemeClr w14:val="tx1">
                <w14:lumMod w14:val="95000"/>
                <w14:lumOff w14:val="5000"/>
              </w14:schemeClr>
            </w14:solidFill>
          </w14:textFill>
        </w:rPr>
        <w:t>。</w:t>
      </w:r>
    </w:p>
    <w:p w14:paraId="1B227A39">
      <w:pPr>
        <w:pStyle w:val="173"/>
        <w:adjustRightInd w:val="0"/>
        <w:snapToGrid w:val="0"/>
        <w:spacing w:after="0" w:line="600" w:lineRule="exact"/>
        <w:ind w:left="0" w:leftChars="0" w:firstLine="643"/>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推动农业“接二连三”融合发展。</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推进农业结构调整，发展农产品精深加工，完善农业生产、加工、流通等环节，大力推进云城区冷链物流建设，建设农产品批发市场和农产品田头市场，加快推进农产品市场流通现代化，推动形成健康生态农产品供应体系。积极发展休闲农业旅游，打造一批乡村营地、乡村民宿、农业公园、休闲农（牧）场、文化创意农园等旅游项目。以南药健康养生文化为主题，充分利用南盛镇、前锋镇自然田园风光，沿县道</w:t>
      </w:r>
      <w:r>
        <w:rPr>
          <w:rFonts w:ascii="宋体" w:hAnsi="宋体" w:cs="宋体"/>
          <w:color w:val="0D0D0D" w:themeColor="text1" w:themeTint="F2"/>
          <w:kern w:val="0"/>
          <w:szCs w:val="32"/>
          <w14:textFill>
            <w14:solidFill>
              <w14:schemeClr w14:val="tx1">
                <w14:lumMod w14:val="95000"/>
                <w14:lumOff w14:val="5000"/>
              </w14:schemeClr>
            </w14:solidFill>
          </w14:textFill>
        </w:rPr>
        <w:t>470</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w:t>
      </w:r>
      <w:r>
        <w:rPr>
          <w:rFonts w:ascii="宋体" w:hAnsi="宋体" w:cs="宋体"/>
          <w:color w:val="0D0D0D" w:themeColor="text1" w:themeTint="F2"/>
          <w:kern w:val="0"/>
          <w:szCs w:val="32"/>
          <w14:textFill>
            <w14:solidFill>
              <w14:schemeClr w14:val="tx1">
                <w14:lumMod w14:val="95000"/>
                <w14:lumOff w14:val="5000"/>
              </w14:schemeClr>
            </w14:solidFill>
          </w14:textFill>
        </w:rPr>
        <w:t>466</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和</w:t>
      </w:r>
      <w:r>
        <w:rPr>
          <w:rFonts w:ascii="宋体" w:hAnsi="宋体" w:cs="宋体"/>
          <w:color w:val="0D0D0D" w:themeColor="text1" w:themeTint="F2"/>
          <w:kern w:val="0"/>
          <w:szCs w:val="32"/>
          <w14:textFill>
            <w14:solidFill>
              <w14:schemeClr w14:val="tx1">
                <w14:lumMod w14:val="95000"/>
                <w14:lumOff w14:val="5000"/>
              </w14:schemeClr>
            </w14:solidFill>
          </w14:textFill>
        </w:rPr>
        <w:t>467</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打造若干个休闲驿站、农家乐，连线连片打造南药健康之旅休闲旅游观光带。</w:t>
      </w:r>
    </w:p>
    <w:p w14:paraId="677EB25B">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提升农业装备和信息化水平。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提高主要农作物机械化水平，推进特色农作物和畜禽规模养殖主要环节机械化。加强农业信息化建设，积极推进信息进村入户，鼓励互联网企业建立产销衔接的农业服务平台，加强农业信息监测预警和发布，提高农业综合信息服务水平。大力发展数字农业，推进“互联网+现代农业”行动，加快生产经营数字化改造，建设数字田园、数字养殖场，鼓励发展众筹农业、定制农业等基于互联网的新业态。</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3FD7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54F04C30">
            <w:pPr>
              <w:jc w:val="center"/>
              <w:rPr>
                <w:rFonts w:ascii="黑体" w:hAnsi="黑体" w:eastAsia="黑体"/>
                <w:sz w:val="24"/>
              </w:rPr>
            </w:pPr>
            <w:r>
              <w:rPr>
                <w:rFonts w:hint="eastAsia" w:ascii="黑体" w:hAnsi="黑体" w:eastAsia="黑体"/>
                <w:sz w:val="24"/>
              </w:rPr>
              <w:t>专栏5“十四五”时期我区现代特色农业重点项目</w:t>
            </w:r>
          </w:p>
        </w:tc>
      </w:tr>
      <w:tr w14:paraId="1A93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14:paraId="3507F3CF">
            <w:pPr>
              <w:adjustRightInd w:val="0"/>
              <w:snapToGrid w:val="0"/>
              <w:spacing w:line="360" w:lineRule="auto"/>
              <w:rPr>
                <w:rFonts w:ascii="宋体" w:hAnsi="宋体" w:cs="楷体_GB2312"/>
                <w:bCs/>
                <w:sz w:val="24"/>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1.广东省云浮市云城区国家现代农业产业园：</w:t>
            </w:r>
            <w:r>
              <w:rPr>
                <w:rFonts w:hint="eastAsia" w:ascii="宋体" w:hAnsi="宋体" w:cs="楷体_GB2312"/>
                <w:bCs/>
                <w:sz w:val="24"/>
              </w:rPr>
              <w:t>建设基础设施与公共服务、种植转型升级引领、南药产业融合提升、科技与品牌支撑、土地流转与贷款贴息五大类，17个建设项目。</w:t>
            </w:r>
          </w:p>
          <w:p w14:paraId="6D502AC0">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2.云城区蔬菜产业园：</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建设基础设施、公共服务、品牌提升、土地流转、产学研、农旅融合六大类（初定）。</w:t>
            </w:r>
          </w:p>
          <w:p w14:paraId="0716D4DB">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3.云城区花卉产业园：</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建设基础设施、公共服务、品牌提升、土地流转、产学研、农旅融合、美丽乡村和产业扶贫建设七大类（园区道路、标准种植大棚、科创中心、5G花卉大数据平台、交易中心、园区产品销售驿站等12个项目）。</w:t>
            </w:r>
          </w:p>
          <w:p w14:paraId="097AA195">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4.云浮市农产品冷链物流优势产区产业园（云城部分）：</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参与云浮市农产品冷链物流产业园，建设基础设施、品牌提升、联农带农等项目（初定）。</w:t>
            </w:r>
          </w:p>
          <w:p w14:paraId="42F862AE">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5.云浮市南药优势产区产业园（云城部分）：</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参与云浮市农产品冷链物流产业园，建设基础设施、品牌提升、土地流转、产学研、农旅融合、联农带农等项目（初定）。</w:t>
            </w:r>
          </w:p>
          <w:p w14:paraId="21530A74">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Cs/>
                <w:color w:val="0D0D0D" w:themeColor="text1" w:themeTint="F2"/>
                <w:sz w:val="24"/>
                <w14:textFill>
                  <w14:solidFill>
                    <w14:schemeClr w14:val="tx1">
                      <w14:lumMod w14:val="95000"/>
                      <w14:lumOff w14:val="5000"/>
                    </w14:schemeClr>
                  </w14:solidFill>
                </w14:textFill>
              </w:rPr>
              <w:t>6.云浮市爱丽孚药菊标准化大棚种植(育苗)示范及农业观光项目：建设7千平方的现代玻璃温室，1200平方的标准冷库，办公区，电商中心，农业观光科普馆，户外景观，园区内道路绿化，及药食同源主题餐厅等。</w:t>
            </w:r>
          </w:p>
          <w:p w14:paraId="75BA2229">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7.云浮市云城区腰古镇仁善城头田园综合项目：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兰花产学研基地、兰花研发中心、现代农业示范园、花木种植、创意农业区、农业教研实践区、南药种植、农业创业区、农业科普研发中心、综合服务中心、亲子乐园、农家乐、景观池、游泳池、鱼塘、驿站等。</w:t>
            </w:r>
          </w:p>
          <w:p w14:paraId="16C82341">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8.云城区大型生猪规模化养殖场标准化建设：</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建设猪舍总面积约50000平方米，沼气池20000立方。猪场配套设施占地总面积23000平方米，生活区建筑面积6300平方米。</w:t>
            </w:r>
          </w:p>
          <w:p w14:paraId="6150C7AC">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9.云城区生猪屠宰场转型升级项目：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拟建屠宰场8200平方米、低温冷库共6000平方米；管理及检测中心9500平方米；车位237个；配电、消防、污水处理站、绿化等。</w:t>
            </w:r>
          </w:p>
          <w:p w14:paraId="5FFF3CA0">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10.粮食功能区（高标准农田建设项目、灌区改造工程）：</w:t>
            </w:r>
            <w:r>
              <w:rPr>
                <w:rFonts w:hint="eastAsia" w:ascii="宋体" w:hAnsi="宋体" w:cs="楷体_GB2312"/>
                <w:bCs/>
                <w:color w:val="0D0D0D" w:themeColor="text1" w:themeTint="F2"/>
                <w:sz w:val="24"/>
                <w14:textFill>
                  <w14:solidFill>
                    <w14:schemeClr w14:val="tx1">
                      <w14:lumMod w14:val="95000"/>
                      <w14:lumOff w14:val="5000"/>
                    </w14:schemeClr>
                  </w14:solidFill>
                </w14:textFill>
              </w:rPr>
              <w:t>1.巩固完善粮食功能区面积5.07万亩；2.新建1.25万亩高标准农田建设项目，改善田间道路，排灌系统。</w:t>
            </w:r>
          </w:p>
          <w:p w14:paraId="6F2F95AA">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Cs/>
                <w:color w:val="0D0D0D" w:themeColor="text1" w:themeTint="F2"/>
                <w:sz w:val="24"/>
                <w14:textFill>
                  <w14:solidFill>
                    <w14:schemeClr w14:val="tx1">
                      <w14:lumMod w14:val="95000"/>
                      <w14:lumOff w14:val="5000"/>
                    </w14:schemeClr>
                  </w14:solidFill>
                </w14:textFill>
              </w:rPr>
              <w:t>3.改造灌区8.6万亩，维修加固引水陂头3座；改造干、支渠长度共34.34km，其中干渠长34.0km，支渠长0.34km；改造渠系建筑物共150座。</w:t>
            </w:r>
          </w:p>
        </w:tc>
      </w:tr>
    </w:tbl>
    <w:p w14:paraId="2D7EF38D">
      <w:pPr>
        <w:adjustRightInd w:val="0"/>
        <w:snapToGrid w:val="0"/>
        <w:spacing w:before="300" w:beforeLines="50" w:after="300" w:afterLines="50" w:line="76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2" w:name="_Toc1610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聚焦农村“宜居度”实施乡村建设行动</w:t>
      </w:r>
      <w:bookmarkEnd w:id="72"/>
    </w:p>
    <w:p w14:paraId="463D1676">
      <w:pPr>
        <w:spacing w:line="600" w:lineRule="exact"/>
        <w:ind w:firstLine="643" w:firstLineChars="200"/>
        <w:rPr>
          <w:rFonts w:ascii="宋体" w:hAnsi="宋体"/>
          <w:szCs w:val="32"/>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全域推进农村人居环境整治。</w:t>
      </w:r>
      <w:r>
        <w:rPr>
          <w:rFonts w:hint="eastAsia" w:ascii="宋体" w:hAnsi="宋体" w:cs="宋体"/>
          <w:kern w:val="0"/>
          <w:szCs w:val="32"/>
        </w:rPr>
        <w:t>深入实施“千村示范、万村整治”工程，不断提升乡村精美风貌、文明风尚。</w:t>
      </w:r>
      <w:r>
        <w:rPr>
          <w:rFonts w:hint="eastAsia" w:ascii="仿宋_GB2312"/>
          <w:szCs w:val="32"/>
        </w:rPr>
        <w:t>实施农村人居环境整治提升五年行动，持续优化农村人居环境。</w:t>
      </w:r>
      <w:r>
        <w:rPr>
          <w:rFonts w:hint="eastAsia" w:ascii="宋体" w:hAnsi="宋体" w:cs="仿宋_GB2312"/>
          <w:szCs w:val="32"/>
        </w:rPr>
        <w:t>全面提升宜居宜业品位，保持农民持续增收，促进社会和谐稳定</w:t>
      </w:r>
      <w:r>
        <w:rPr>
          <w:rFonts w:hint="eastAsia" w:ascii="宋体" w:hAnsi="宋体" w:cs="仿宋_GB2312"/>
          <w:color w:val="0D0D0D" w:themeColor="text1" w:themeTint="F2"/>
          <w:szCs w:val="32"/>
          <w14:textFill>
            <w14:solidFill>
              <w14:schemeClr w14:val="tx1">
                <w14:lumMod w14:val="95000"/>
                <w14:lumOff w14:val="5000"/>
              </w14:schemeClr>
            </w14:solidFill>
          </w14:textFill>
        </w:rPr>
        <w:t>，力争在2022年前，全区678个20户以上的所有自然村达到干净整洁村标准，65%村庄达到美丽宜居标准；加快推进农村人居环境整治项目建设，力争在2023年完成建设任务；</w:t>
      </w:r>
      <w:r>
        <w:rPr>
          <w:rFonts w:hint="eastAsia" w:ascii="宋体" w:hAnsi="宋体" w:cs="仿宋_GB2312"/>
          <w:szCs w:val="32"/>
        </w:rPr>
        <w:t>统筹城镇和村庄规划建设，全面推进农房管控和风貌提升，加快农村“四小园”建设。</w:t>
      </w:r>
    </w:p>
    <w:p w14:paraId="394F719C">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创建美丽乡村示范品牌。</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突出抓好县域主干道、名镇名村重点区域、省级新农村示范片的美丽乡村建设。打造畅、安、舒、美的乡村道路网。持续高质量推动“四好农村路”建设，通过打造1-2个“四好农村路”示范乡（镇），进一步推进省级“四好农村路”示范建设。</w:t>
      </w:r>
      <w:r>
        <w:rPr>
          <w:rFonts w:hint="eastAsia" w:ascii="宋体" w:hAnsi="宋体" w:cs="宋体"/>
          <w:kern w:val="0"/>
          <w:szCs w:val="32"/>
        </w:rPr>
        <w:t>以精品村、特色村创建为载体，全域开展“精美农村”示范创建行动。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突出抓好县域主干道、“四沿”重点区域精美农村建设。培育省休闲旅游示范点</w:t>
      </w:r>
      <w:r>
        <w:rPr>
          <w:rFonts w:ascii="宋体" w:hAnsi="宋体" w:cs="宋体"/>
          <w:color w:val="0D0D0D" w:themeColor="text1" w:themeTint="F2"/>
          <w:kern w:val="0"/>
          <w:szCs w:val="32"/>
          <w14:textFill>
            <w14:solidFill>
              <w14:schemeClr w14:val="tx1">
                <w14:lumMod w14:val="95000"/>
                <w14:lumOff w14:val="5000"/>
              </w14:schemeClr>
            </w14:solidFill>
          </w14:textFill>
        </w:rPr>
        <w:t>3</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个，示范镇1个，打造一条独具特色的南药健康休闲旅游线路，一个南药加工业旅游点，两个南药公园（前锋、腰古）。注重保护古驿道、古建筑、古村落等历史文化遗迹，强化地域文化元素符号，保护乡情美景，保持村庄原有风貌，形成一村一韵、一村一景的全域生态宜居美丽乡村格局。</w:t>
      </w:r>
    </w:p>
    <w:p w14:paraId="67A62A2B">
      <w:pPr>
        <w:adjustRightInd w:val="0"/>
        <w:snapToGrid w:val="0"/>
        <w:spacing w:line="600" w:lineRule="exact"/>
        <w:ind w:firstLine="643" w:firstLineChars="20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大力开展美丽圩镇创建。</w:t>
      </w:r>
      <w:r>
        <w:rPr>
          <w:rFonts w:hint="eastAsia" w:ascii="宋体" w:hAnsi="宋体" w:cs="宋体"/>
          <w:kern w:val="0"/>
          <w:szCs w:val="32"/>
        </w:rPr>
        <w:t>以省委赋予云浮“美丽圩镇”试点为契机，大力开展美丽圩镇创建，解放思想，创新思路，坚持共同缔造、经营开发、多元化理念，吸引更多资本，不断完善圩镇基础设施和服务设施建设，引导镇域特色经济和农村二三产业在圩镇集聚，布局发展圩镇主导产业。</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科学编制美丽圩镇创建规划，落实空间布局和创建时序，形成形态各异、风貌独特的美丽圩镇发展格局。改造提升圩镇商业街风貌，对圩镇中心及主街区沿线的建筑立面进行特色化风貌适度改造（有条件的镇街可全面改造）。绿化美化亮化圩镇环境，对进入圩镇主干路的入口路段进行绿化改造或景观提升，强化</w:t>
      </w:r>
      <w:r>
        <w:rPr>
          <w:rFonts w:ascii="宋体" w:hAnsi="宋体" w:cs="宋体"/>
          <w:color w:val="0D0D0D" w:themeColor="text1" w:themeTint="F2"/>
          <w:kern w:val="0"/>
          <w:szCs w:val="32"/>
          <w14:textFill>
            <w14:solidFill>
              <w14:schemeClr w14:val="tx1">
                <w14:lumMod w14:val="95000"/>
                <w14:lumOff w14:val="5000"/>
              </w14:schemeClr>
            </w14:solidFill>
          </w14:textFill>
        </w:rPr>
        <w:t>IP</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形象，打造一批花池、景观墙、彩绘墙、小水景、户外家具等街头景观小品；对沿街标志性建筑、小景观、道路绿化等进行适度的亮化设计和打造，增添圩镇夜间特色景观效果。谋划推动安塘、前锋、南盛过境公路建设，提升镇域过境交通的通行能力和交通服务水平，规范圩镇道路交通秩序和街道管理水平。实施圩镇综合整治行动，集中开展垃圾、污水和公厕三个专项治理和“六乱”行为综合整治，打造规范干净整洁有序的圩镇环境。规划建设圩镇乡野型碧道、自然生态型碧道以及由周边乡村沟、渠、溪、塘等小微水体构成的“微碧道”，统筹水生态、水安全、水文化和水经济。深入开展“干净整洁平安有序”文明圩镇创建活动，切实增强人民群众的获得感、幸福感、安全感。提高圩镇综合承载力。加强基层医疗卫生机构标准化建设，全面深化基层医疗卫生机构与区人民医院的区域医共体建设，建设健康圩镇。积极推进镇域学前教育、社区教育、老年教育等体系建设。通过试点探索，健全我区居家、社区、机构相衔接的养老服务体系。按需完善圩镇综合文化站功能场室、设备设施，提升服务效能。</w:t>
      </w:r>
    </w:p>
    <w:p w14:paraId="102E34B0">
      <w:pPr>
        <w:spacing w:line="600" w:lineRule="exact"/>
        <w:ind w:firstLine="643"/>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加快推进城乡一体化建设。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落实最严格的耕地保护制度，深入推进农村乱占耕地建房专项整治行动。高水平推进“四好农村路”建设，加快数字乡村和农村管道天然气建设，不断完善乡村水、电、路、通信、广电、物流等基础设施。开展“新乡贤返乡”工程，全方位吸引乡贤返乡建设美丽家乡。</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E54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2BEB9FFC">
            <w:pPr>
              <w:jc w:val="center"/>
              <w:rPr>
                <w:rFonts w:ascii="黑体" w:hAnsi="黑体" w:eastAsia="黑体"/>
                <w:sz w:val="24"/>
              </w:rPr>
            </w:pPr>
            <w:r>
              <w:rPr>
                <w:rFonts w:hint="eastAsia" w:ascii="黑体" w:hAnsi="黑体" w:eastAsia="黑体"/>
                <w:sz w:val="24"/>
              </w:rPr>
              <w:t>专栏6“十四五”时期我区乡村人居环境整治重点项目</w:t>
            </w:r>
          </w:p>
        </w:tc>
      </w:tr>
      <w:tr w14:paraId="1787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14:paraId="10FDE2B9">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1.云浮市云城区2020年农村人居环境整治项目：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建设范围覆盖8个镇（街），98个行政村，5万户，约220000人。</w:t>
            </w:r>
          </w:p>
          <w:p w14:paraId="05BD8CCE">
            <w:pPr>
              <w:adjustRightInd w:val="0"/>
              <w:snapToGrid w:val="0"/>
              <w:spacing w:line="360" w:lineRule="auto"/>
              <w:rPr>
                <w:rFonts w:ascii="宋体" w:hAnsi="宋体" w:cs="楷体_GB2312"/>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2.云城区乡村振兴环境交通基础设施改造项目：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升级改造道路350公里，包括绿化15万平方米、改造桥梁45座、排水排污管道设施45公里。</w:t>
            </w:r>
          </w:p>
          <w:p w14:paraId="7F1DF848">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3.云城区河口街旧圩镇范围环境整治改造项目：</w:t>
            </w:r>
            <w:r>
              <w:rPr>
                <w:rFonts w:hint="eastAsia" w:ascii="宋体" w:hAnsi="宋体" w:cs="楷体_GB2312"/>
                <w:bCs/>
                <w:color w:val="0D0D0D" w:themeColor="text1" w:themeTint="F2"/>
                <w:sz w:val="24"/>
                <w14:textFill>
                  <w14:solidFill>
                    <w14:schemeClr w14:val="tx1">
                      <w14:lumMod w14:val="95000"/>
                      <w14:lumOff w14:val="5000"/>
                    </w14:schemeClr>
                  </w14:solidFill>
                </w14:textFill>
              </w:rPr>
              <w:t>改造旧圩镇范围内的环境整治，建设雨污分流管网设施，破旧道路硬地化升级改造和升级周边的环保设施设备等，修建公共服务设施等。</w:t>
            </w:r>
          </w:p>
        </w:tc>
      </w:tr>
    </w:tbl>
    <w:p w14:paraId="665783C6">
      <w:pPr>
        <w:adjustRightInd w:val="0"/>
        <w:snapToGrid w:val="0"/>
        <w:spacing w:before="300" w:beforeLines="50" w:after="300" w:afterLines="50" w:line="76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3" w:name="_Toc1540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聚焦农村“惠民度”推动农村综合改革</w:t>
      </w:r>
      <w:bookmarkEnd w:id="73"/>
    </w:p>
    <w:p w14:paraId="1EE27690">
      <w:pPr>
        <w:pStyle w:val="173"/>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健全城乡融合发展体制机制，推动城乡要素平等交换、双向流动。配合市做好国家城乡融合发展试验区争创工作。</w:t>
      </w:r>
    </w:p>
    <w:p w14:paraId="49A0F22F">
      <w:pPr>
        <w:pStyle w:val="173"/>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推进农村土地制度改革。</w:t>
      </w:r>
      <w:r>
        <w:rPr>
          <w:rFonts w:hint="eastAsia" w:ascii="宋体" w:hAnsi="宋体"/>
          <w:color w:val="0D0D0D" w:themeColor="text1" w:themeTint="F2"/>
          <w:szCs w:val="32"/>
          <w14:textFill>
            <w14:solidFill>
              <w14:schemeClr w14:val="tx1">
                <w14:lumMod w14:val="95000"/>
                <w14:lumOff w14:val="5000"/>
              </w14:schemeClr>
            </w14:solidFill>
          </w14:textFill>
        </w:rPr>
        <w:t>完善农村承包地“三权分置”制度，推进农村建设用地拆旧复垦，鼓励以村组为单位，在依法保护集体土地所有权和农户承包权前提下，平等保护土地经营权。强化农村建房规范管理，推进“房地一体”确权登记发证工作。建立农村集体“三资”管理服务平台，大力推进农村承包土地流转，着力破解“插花田”“零碎田”难题。</w:t>
      </w:r>
    </w:p>
    <w:p w14:paraId="458D4C3A">
      <w:pPr>
        <w:pStyle w:val="173"/>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发展壮大村集体经济。</w:t>
      </w:r>
      <w:r>
        <w:rPr>
          <w:rFonts w:hint="eastAsia" w:ascii="宋体" w:hAnsi="宋体"/>
          <w:color w:val="0D0D0D" w:themeColor="text1" w:themeTint="F2"/>
          <w:szCs w:val="32"/>
          <w14:textFill>
            <w14:solidFill>
              <w14:schemeClr w14:val="tx1">
                <w14:lumMod w14:val="95000"/>
                <w14:lumOff w14:val="5000"/>
              </w14:schemeClr>
            </w14:solidFill>
          </w14:textFill>
        </w:rPr>
        <w:t>坚持重点扶持与全面推进相结合，依托乡村旅游、特色产业、“三变”改革、服务创收、扶贫带动等</w:t>
      </w:r>
      <w:r>
        <w:rPr>
          <w:rFonts w:ascii="宋体" w:hAnsi="宋体"/>
          <w:color w:val="0D0D0D" w:themeColor="text1" w:themeTint="F2"/>
          <w:szCs w:val="32"/>
          <w14:textFill>
            <w14:solidFill>
              <w14:schemeClr w14:val="tx1">
                <w14:lumMod w14:val="95000"/>
                <w14:lumOff w14:val="5000"/>
              </w14:schemeClr>
            </w14:solidFill>
          </w14:textFill>
        </w:rPr>
        <w:t>5</w:t>
      </w:r>
      <w:r>
        <w:rPr>
          <w:rFonts w:hint="eastAsia" w:ascii="宋体" w:hAnsi="宋体"/>
          <w:color w:val="0D0D0D" w:themeColor="text1" w:themeTint="F2"/>
          <w:szCs w:val="32"/>
          <w14:textFill>
            <w14:solidFill>
              <w14:schemeClr w14:val="tx1">
                <w14:lumMod w14:val="95000"/>
                <w14:lumOff w14:val="5000"/>
              </w14:schemeClr>
            </w14:solidFill>
          </w14:textFill>
        </w:rPr>
        <w:t>种村级集体经济发展模式，积极谋划扶持壮大村级集体经济项目。实行“输血”和“造血”并举，加大对经济薄弱村、特别是贫困村财政转移支付的力度，确保农村基层组织正常运转。进一步完善利益联结机制，推广“订单收购+保底分红”“土地流转+务工收入”等合作模式。</w:t>
      </w:r>
    </w:p>
    <w:p w14:paraId="445FF9D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推进农村金融改革。</w:t>
      </w:r>
      <w:r>
        <w:rPr>
          <w:rFonts w:hint="eastAsia" w:ascii="宋体" w:hAnsi="宋体"/>
          <w:color w:val="0D0D0D" w:themeColor="text1" w:themeTint="F2"/>
          <w:szCs w:val="32"/>
          <w14:textFill>
            <w14:solidFill>
              <w14:schemeClr w14:val="tx1">
                <w14:lumMod w14:val="95000"/>
                <w14:lumOff w14:val="5000"/>
              </w14:schemeClr>
            </w14:solidFill>
          </w14:textFill>
        </w:rPr>
        <w:t>创新金融支农服务模式，探索建立“土地银行”“田间股份制”“土地信托服务中心</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站、社</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模式。健全发展农村金融的政策“组合拳”，不断完善普惠金融专项资金、税收优惠、财政贴息、财政补助、风险补偿等多种手段，引导金融机构的金融资源流向农村金融体系。设立农村金融贷款风险补偿基金，探索多种形式的担保增信方式。</w:t>
      </w:r>
    </w:p>
    <w:p w14:paraId="57DE8893">
      <w:pPr>
        <w:adjustRightInd w:val="0"/>
        <w:snapToGrid w:val="0"/>
        <w:spacing w:line="600" w:lineRule="exact"/>
        <w:ind w:firstLine="643"/>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培育新型农业经营主体。</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不断壮大龙头企业，力争</w:t>
      </w:r>
      <w:r>
        <w:rPr>
          <w:rFonts w:hint="eastAsia" w:ascii="宋体" w:hAnsi="宋体"/>
          <w:color w:val="0D0D0D" w:themeColor="text1" w:themeTint="F2"/>
          <w14:textFill>
            <w14:solidFill>
              <w14:schemeClr w14:val="tx1">
                <w14:lumMod w14:val="95000"/>
                <w14:lumOff w14:val="5000"/>
              </w14:schemeClr>
            </w14:solidFill>
          </w14:textFill>
        </w:rPr>
        <w:t>培育国家级农业龙头企业1家，省级农业龙头企业3家，市级农业龙头企业8家，各级示范社5家，示范家庭农场10家。</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创造云城经验，完善新型农业经营主体与小农户的利益联结机制。重视培育发展农民专业合作社和家庭农场，推进农民合作社质量提升。完善支持家庭农场发展的政策体系和管理制度，重视家庭农场主素质提升培训。鼓励社会资本投入，积极发展“公司+养殖小区”模式。</w:t>
      </w:r>
    </w:p>
    <w:p w14:paraId="279793FD">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4" w:name="_Toc3125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巩固拓展脱贫攻坚成果同乡村振兴有效衔接</w:t>
      </w:r>
      <w:bookmarkEnd w:id="74"/>
    </w:p>
    <w:p w14:paraId="295EAE80">
      <w:pPr>
        <w:pStyle w:val="175"/>
        <w:snapToGrid w:val="0"/>
        <w:spacing w:after="0" w:line="600" w:lineRule="exact"/>
        <w:ind w:left="0" w:leftChars="0" w:firstLine="643"/>
        <w:rPr>
          <w:rFonts w:hint="default" w:ascii="宋体"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ascii="宋体" w:hAnsi="宋体" w:eastAsia="仿宋_GB2312"/>
          <w:b/>
          <w:color w:val="0D0D0D" w:themeColor="text1" w:themeTint="F2"/>
          <w:kern w:val="0"/>
          <w:sz w:val="32"/>
          <w14:textFill>
            <w14:solidFill>
              <w14:schemeClr w14:val="tx1">
                <w14:lumMod w14:val="95000"/>
                <w14:lumOff w14:val="5000"/>
              </w14:schemeClr>
            </w14:solidFill>
          </w14:textFill>
        </w:rPr>
        <w:t>推进脱贫攻坚与乡村振兴有效衔接。</w:t>
      </w:r>
      <w:r>
        <w:rPr>
          <w:rFonts w:ascii="宋体" w:hAnsi="宋体" w:eastAsia="仿宋_GB2312" w:cs="宋体"/>
          <w:color w:val="0D0D0D" w:themeColor="text1" w:themeTint="F2"/>
          <w:kern w:val="0"/>
          <w:sz w:val="32"/>
          <w:szCs w:val="32"/>
          <w14:textFill>
            <w14:solidFill>
              <w14:schemeClr w14:val="tx1">
                <w14:lumMod w14:val="95000"/>
                <w14:lumOff w14:val="5000"/>
              </w14:schemeClr>
            </w14:solidFill>
          </w14:textFill>
        </w:rPr>
        <w:t>贯彻落实好新一轮对口帮扶和“万企帮万村”行动。设置过渡期，将巩固脱贫成果同乡村振兴有效衔接，工作不留空档，政策不留空白。</w:t>
      </w:r>
      <w:r>
        <w:rPr>
          <w:rFonts w:ascii="宋体" w:hAnsi="宋体" w:eastAsia="仿宋_GB2312"/>
          <w:color w:val="0D0D0D" w:themeColor="text1" w:themeTint="F2"/>
          <w:sz w:val="32"/>
          <w:szCs w:val="22"/>
          <w14:textFill>
            <w14:solidFill>
              <w14:schemeClr w14:val="tx1">
                <w14:lumMod w14:val="95000"/>
                <w14:lumOff w14:val="5000"/>
              </w14:schemeClr>
            </w14:solidFill>
          </w14:textFill>
        </w:rPr>
        <w:t>严格落实“四个不摘”要求，保持财政资金投入力度不减，帮扶队伍不撤。</w:t>
      </w:r>
      <w:r>
        <w:rPr>
          <w:rFonts w:ascii="宋体" w:hAnsi="宋体" w:eastAsia="仿宋_GB2312" w:cs="宋体"/>
          <w:color w:val="0D0D0D" w:themeColor="text1" w:themeTint="F2"/>
          <w:kern w:val="0"/>
          <w:sz w:val="32"/>
          <w:szCs w:val="32"/>
          <w14:textFill>
            <w14:solidFill>
              <w14:schemeClr w14:val="tx1">
                <w14:lumMod w14:val="95000"/>
                <w14:lumOff w14:val="5000"/>
              </w14:schemeClr>
            </w14:solidFill>
          </w14:textFill>
        </w:rPr>
        <w:t>加强扶贫项目后续管理和监督，完善扶贫资产管理长效机制，巩固拓展脱贫攻坚成果。健全防止返贫动态监测和帮扶机制，对易返贫人口实施常态化监测，织牢返贫保障网。充分吸纳前期脱贫攻坚的经验和成果，并融入推进乡村振兴的具体工作方案中，着力在巩固提升、提质转化上做好文章。</w:t>
      </w:r>
    </w:p>
    <w:p w14:paraId="1D5479EC">
      <w:pPr>
        <w:pStyle w:val="173"/>
        <w:adjustRightInd w:val="0"/>
        <w:snapToGrid w:val="0"/>
        <w:spacing w:after="0" w:line="600" w:lineRule="exact"/>
        <w:ind w:left="0" w:leftChars="0" w:firstLine="643"/>
        <w:rPr>
          <w:rFonts w:ascii="宋体" w:hAnsi="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实现从点上脱贫攻坚到面上乡村振兴的转变。</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做好目标对接，将巩固拓展脱贫攻坚成果直接对接乡村振兴阶段目标，吸纳产业发展、社会管理等基础数据，为乡村振兴工作奠定基础。抓好政策衔接，建立农村低收入群体帮扶机制，健全农村社会保障和救助制度,将“两不愁三保障”的相关政策和机制，吸纳到常态化的城乡社会救助中，逐步建立完善的社会救助体系，形成长效机制。推进产业衔接，进一步推动一二三产业融合发展，推进农户与现代农业产业发展有机对接，有效增强扶贫产</w:t>
      </w:r>
      <w:r>
        <w:rPr>
          <w:rFonts w:ascii="宋体" w:hAnsi="宋体"/>
          <w:color w:val="0D0D0D" w:themeColor="text1" w:themeTint="F2"/>
          <w:kern w:val="0"/>
          <w:szCs w:val="32"/>
          <w14:textFill>
            <w14:solidFill>
              <w14:schemeClr w14:val="tx1">
                <w14:lumMod w14:val="95000"/>
                <w14:lumOff w14:val="5000"/>
              </w14:schemeClr>
            </w14:solidFill>
          </w14:textFill>
        </w:rPr>
        <w:t>业的可持续性。加强工作组织衔接，</w:t>
      </w:r>
      <w:r>
        <w:rPr>
          <w:rFonts w:hint="eastAsia" w:ascii="宋体" w:hAnsi="宋体"/>
          <w:color w:val="0D0D0D" w:themeColor="text1" w:themeTint="F2"/>
          <w:kern w:val="0"/>
          <w:szCs w:val="32"/>
          <w14:textFill>
            <w14:solidFill>
              <w14:schemeClr w14:val="tx1">
                <w14:lumMod w14:val="95000"/>
                <w14:lumOff w14:val="5000"/>
              </w14:schemeClr>
            </w14:solidFill>
          </w14:textFill>
        </w:rPr>
        <w:t>强化区镇村三级抓乡村振兴的制度责任与保障，推动</w:t>
      </w:r>
      <w:r>
        <w:rPr>
          <w:rFonts w:ascii="宋体" w:hAnsi="宋体"/>
          <w:color w:val="0D0D0D" w:themeColor="text1" w:themeTint="F2"/>
          <w:kern w:val="0"/>
          <w:szCs w:val="32"/>
          <w14:textFill>
            <w14:solidFill>
              <w14:schemeClr w14:val="tx1">
                <w14:lumMod w14:val="95000"/>
                <w14:lumOff w14:val="5000"/>
              </w14:schemeClr>
            </w14:solidFill>
          </w14:textFill>
        </w:rPr>
        <w:t>扶贫工作机构转向为乡村振兴服务</w:t>
      </w:r>
      <w:r>
        <w:rPr>
          <w:rFonts w:hint="eastAsia" w:ascii="宋体" w:hAnsi="宋体"/>
          <w:color w:val="0D0D0D" w:themeColor="text1" w:themeTint="F2"/>
          <w:kern w:val="0"/>
          <w:szCs w:val="32"/>
          <w14:textFill>
            <w14:solidFill>
              <w14:schemeClr w14:val="tx1">
                <w14:lumMod w14:val="95000"/>
                <w14:lumOff w14:val="5000"/>
              </w14:schemeClr>
            </w14:solidFill>
          </w14:textFill>
        </w:rPr>
        <w:t>。加强人才衔接，积极引进南药、花卉等产业的专业技术人才，培育高素质农民，充分用好脱贫攻坚工作中关心农村、奉献农村的优秀人才，吸引新乡贤、返乡大学生、退伍军人回乡创业。</w:t>
      </w:r>
    </w:p>
    <w:p w14:paraId="4F8412CC">
      <w:pPr>
        <w:pStyle w:val="4"/>
        <w:adjustRightInd w:val="0"/>
        <w:snapToGrid w:val="0"/>
        <w:spacing w:before="120" w:after="120" w:line="600" w:lineRule="exact"/>
        <w:jc w:val="cente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75" w:name="_Toc8404"/>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第六章 主动融入“双循环”新格局，坚定不移</w:t>
      </w:r>
      <w:bookmarkEnd w:id="75"/>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打造新发展格局战略支点</w:t>
      </w:r>
    </w:p>
    <w:p w14:paraId="00528C82">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坚持以供给侧结构性改革为主线，提升云城供给体系对国内国际需求的供给能力与水平，全力畅通国内国际双循环渠道，坚定不移打造新发展格局战略支点。</w:t>
      </w:r>
    </w:p>
    <w:p w14:paraId="66A064CF">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6" w:name="_Toc1788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积极扩大有效投资</w:t>
      </w:r>
      <w:bookmarkEnd w:id="76"/>
    </w:p>
    <w:p w14:paraId="7F977B4A">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坚持用好各类政策资金、融资产品和民间投资，加大公共服务领域投资力度，充分发挥有效投资的关键作用，以更大力度、更精准投资来补短板、强弱项，助力基础设施不断完善。</w:t>
      </w:r>
    </w:p>
    <w:p w14:paraId="5F6292C7">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构建“外联内畅”交通运输体系。</w:t>
      </w:r>
      <w:r>
        <w:rPr>
          <w:rFonts w:hint="eastAsia" w:ascii="宋体" w:hAnsi="宋体"/>
          <w:color w:val="0D0D0D" w:themeColor="text1" w:themeTint="F2"/>
          <w:szCs w:val="32"/>
          <w14:textFill>
            <w14:solidFill>
              <w14:schemeClr w14:val="tx1">
                <w14:lumMod w14:val="95000"/>
                <w14:lumOff w14:val="5000"/>
              </w14:schemeClr>
            </w14:solidFill>
          </w14:textFill>
        </w:rPr>
        <w:t>打通交通大通道，积极配合东部快线、西部快线建设，积极争取广佛肇云高速及南盛支线、南广高铁云浮东站至广湛高铁新兴南站轨道联络线动工建设。加强综合交通枢纽建设，推动</w:t>
      </w:r>
      <w:r>
        <w:rPr>
          <w:rFonts w:hint="eastAsia" w:ascii="宋体" w:hAnsi="宋体"/>
          <w:szCs w:val="32"/>
        </w:rPr>
        <w:t>深南</w:t>
      </w:r>
      <w:r>
        <w:rPr>
          <w:rFonts w:hint="eastAsia" w:ascii="宋体" w:hAnsi="宋体"/>
          <w:color w:val="0D0D0D" w:themeColor="text1" w:themeTint="F2"/>
          <w:szCs w:val="32"/>
          <w14:textFill>
            <w14:solidFill>
              <w14:schemeClr w14:val="tx1">
                <w14:lumMod w14:val="95000"/>
                <w14:lumOff w14:val="5000"/>
              </w14:schemeClr>
            </w14:solidFill>
          </w14:textFill>
        </w:rPr>
        <w:t>高铁云浮站站城一体化。加快完善“内畅”路网，加快开辟广佛肇云高速互联互通前锋镇罗坪新村新通道、广云高速云浮东出入口升级改造、广云高速云浮西出入口、江罗高速南盛出入口至前锋围仔连接线、思劳东高速出入口连接线建设。持续强化国、省干线公路升级改造建设，进一步提升国、省干线的通行和运营能力。加快推进国道G324线腰古至石城段改线工程、S537、S538、S265、S276等省道的改扩建改造工作。加快农村公路建设提档升级，全面推进乡道升县道、县道升省道工作。着力推进区内镇街互通交通道路网建设，推进云城街新中村委至前锋镇崖楼村委骑行道建设项目、安塘夏洞至南盛四坑道路、思劳冲坑至都杨麦州道路等项目的建设。全面提升乡、村道路安全设施、路面升级改造和绿化美化水平。加快推进金属智造科技产业园基础设施工程和河口、腰古、前锋、南盛片区通产业园区道路的建设。推进城区富丰路、博林路、金山路南段等一批中心城区“瓶颈路”贯通，完成翠丰路、天柱路等一批中心城区道路升级。</w:t>
      </w:r>
    </w:p>
    <w:p w14:paraId="0F7E824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优化能源供给结构。</w:t>
      </w:r>
      <w:r>
        <w:rPr>
          <w:rFonts w:hint="eastAsia" w:ascii="宋体" w:hAnsi="宋体"/>
          <w:color w:val="0D0D0D" w:themeColor="text1" w:themeTint="F2"/>
          <w:szCs w:val="32"/>
          <w14:textFill>
            <w14:solidFill>
              <w14:schemeClr w14:val="tx1">
                <w14:lumMod w14:val="95000"/>
                <w14:lumOff w14:val="5000"/>
              </w14:schemeClr>
            </w14:solidFill>
          </w14:textFill>
        </w:rPr>
        <w:t>大力开发风能、氢能等绿色能源，全力配合广东联悦氢能有限公司制氢建设项目和云河发电公司天然气热电联产项目建设，大力发展分布式能源。不断提升配电网的供电能力、供电可靠性水平，使其适应经济社会快速发展和城镇化发展的需要。加快高峰北片区和前锋、南盛电网改造升级，积极配合推进一批电网（</w:t>
      </w:r>
      <w:r>
        <w:rPr>
          <w:rFonts w:ascii="宋体" w:hAnsi="宋体"/>
          <w:color w:val="0D0D0D" w:themeColor="text1" w:themeTint="F2"/>
          <w:szCs w:val="32"/>
          <w14:textFill>
            <w14:solidFill>
              <w14:schemeClr w14:val="tx1">
                <w14:lumMod w14:val="95000"/>
                <w14:lumOff w14:val="5000"/>
              </w14:schemeClr>
            </w14:solidFill>
          </w14:textFill>
        </w:rPr>
        <w:t>110KV</w:t>
      </w:r>
      <w:r>
        <w:rPr>
          <w:rFonts w:hint="eastAsia" w:ascii="宋体" w:hAnsi="宋体"/>
          <w:color w:val="0D0D0D" w:themeColor="text1" w:themeTint="F2"/>
          <w:szCs w:val="32"/>
          <w14:textFill>
            <w14:solidFill>
              <w14:schemeClr w14:val="tx1">
                <w14:lumMod w14:val="95000"/>
                <w14:lumOff w14:val="5000"/>
              </w14:schemeClr>
            </w14:solidFill>
          </w14:textFill>
        </w:rPr>
        <w:t>及以上）工程建设，保障电力供应。持续完善新能源汽车充电基础设施，适度超前建设公用充电设施，优先推进公共服务领域专用充电设施建设，切实推动自用充电设施建设。完善能源产供储销基础设施建设，实施天然气利用“县县通工程”。</w:t>
      </w:r>
    </w:p>
    <w:p w14:paraId="442D6338">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推进水利基础设施建设。</w:t>
      </w:r>
      <w:r>
        <w:rPr>
          <w:rFonts w:hint="eastAsia" w:ascii="宋体" w:hAnsi="宋体"/>
          <w:color w:val="0D0D0D" w:themeColor="text1" w:themeTint="F2"/>
          <w:szCs w:val="32"/>
          <w14:textFill>
            <w14:solidFill>
              <w14:schemeClr w14:val="tx1">
                <w14:lumMod w14:val="95000"/>
                <w14:lumOff w14:val="5000"/>
              </w14:schemeClr>
            </w14:solidFill>
          </w14:textFill>
        </w:rPr>
        <w:t>加强水资源规划与调控，合理确定水生态空间功能布局，划定并严守水生态保护区域红线。加快完成小河云城区段、石古河等八条河共</w:t>
      </w:r>
      <w:r>
        <w:rPr>
          <w:rFonts w:ascii="宋体" w:hAnsi="宋体"/>
          <w:color w:val="0D0D0D" w:themeColor="text1" w:themeTint="F2"/>
          <w:szCs w:val="32"/>
          <w14:textFill>
            <w14:solidFill>
              <w14:schemeClr w14:val="tx1">
                <w14:lumMod w14:val="95000"/>
                <w14:lumOff w14:val="5000"/>
              </w14:schemeClr>
            </w14:solidFill>
          </w14:textFill>
        </w:rPr>
        <w:t>131</w:t>
      </w:r>
      <w:r>
        <w:rPr>
          <w:rFonts w:hint="eastAsia" w:ascii="宋体" w:hAnsi="宋体"/>
          <w:color w:val="0D0D0D" w:themeColor="text1" w:themeTint="F2"/>
          <w:szCs w:val="32"/>
          <w14:textFill>
            <w14:solidFill>
              <w14:schemeClr w14:val="tx1">
                <w14:lumMod w14:val="95000"/>
                <w14:lumOff w14:val="5000"/>
              </w14:schemeClr>
            </w14:solidFill>
          </w14:textFill>
        </w:rPr>
        <w:t>公里水域岸线保护与利用规划编制工作。加快灌区改造工程，探索灌区现代化建设试点。强化农村水利保障，在全面完成村村通自来水工程建设任务的基础上，加强饮用水备用水源建设，解决农村饮水难问题，推进集中供水全覆盖。修复改造全区</w:t>
      </w:r>
      <w:r>
        <w:rPr>
          <w:rFonts w:ascii="宋体" w:hAnsi="宋体"/>
          <w:color w:val="0D0D0D" w:themeColor="text1" w:themeTint="F2"/>
          <w:szCs w:val="32"/>
          <w14:textFill>
            <w14:solidFill>
              <w14:schemeClr w14:val="tx1">
                <w14:lumMod w14:val="95000"/>
                <w14:lumOff w14:val="5000"/>
              </w14:schemeClr>
            </w14:solidFill>
          </w14:textFill>
        </w:rPr>
        <w:t>21</w:t>
      </w:r>
      <w:r>
        <w:rPr>
          <w:rFonts w:hint="eastAsia" w:ascii="宋体" w:hAnsi="宋体"/>
          <w:color w:val="0D0D0D" w:themeColor="text1" w:themeTint="F2"/>
          <w:szCs w:val="32"/>
          <w14:textFill>
            <w14:solidFill>
              <w14:schemeClr w14:val="tx1">
                <w14:lumMod w14:val="95000"/>
                <w14:lumOff w14:val="5000"/>
              </w14:schemeClr>
            </w14:solidFill>
          </w14:textFill>
        </w:rPr>
        <w:t>个水库，完善农村易涝区整治、病险水库水闸除险加固工程，重点提升防洪排涝能力。</w:t>
      </w:r>
    </w:p>
    <w:p w14:paraId="33A696B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加快新型基础设施建设。</w:t>
      </w:r>
      <w:r>
        <w:rPr>
          <w:rFonts w:hint="eastAsia" w:ascii="宋体" w:hAnsi="宋体"/>
          <w:color w:val="0D0D0D" w:themeColor="text1" w:themeTint="F2"/>
          <w:szCs w:val="32"/>
          <w14:textFill>
            <w14:solidFill>
              <w14:schemeClr w14:val="tx1">
                <w14:lumMod w14:val="95000"/>
                <w14:lumOff w14:val="5000"/>
              </w14:schemeClr>
            </w14:solidFill>
          </w14:textFill>
        </w:rPr>
        <w:t>加快</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网络建设，扩大</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建站规模，加大</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基站选址、用电等支持力度，实现核心商圈、重点产业园区、重要交通枢纽、主要应用场景精准覆盖。加快打造人机物全面互联的工业互联网，大力发展新型智能化计算设施，推动大型数据中心有序建设使用、小微型数据中心升级改造。完善融合基础设施建设，结合</w:t>
      </w:r>
      <w:r>
        <w:rPr>
          <w:rFonts w:ascii="宋体" w:hAnsi="宋体"/>
          <w:color w:val="0D0D0D" w:themeColor="text1" w:themeTint="F2"/>
          <w:szCs w:val="32"/>
          <w14:textFill>
            <w14:solidFill>
              <w14:schemeClr w14:val="tx1">
                <w14:lumMod w14:val="95000"/>
                <w14:lumOff w14:val="5000"/>
              </w14:schemeClr>
            </w14:solidFill>
          </w14:textFill>
        </w:rPr>
        <w:t>5G</w:t>
      </w:r>
      <w:r>
        <w:rPr>
          <w:rFonts w:hint="eastAsia" w:ascii="宋体" w:hAnsi="宋体"/>
          <w:color w:val="0D0D0D" w:themeColor="text1" w:themeTint="F2"/>
          <w:szCs w:val="32"/>
          <w14:textFill>
            <w14:solidFill>
              <w14:schemeClr w14:val="tx1">
                <w14:lumMod w14:val="95000"/>
                <w14:lumOff w14:val="5000"/>
              </w14:schemeClr>
            </w14:solidFill>
          </w14:textFill>
        </w:rPr>
        <w:t>网络部署，推进云浮云城区中心城区智能停车工程、云城区立体智能停车场建设，合理解决城市停车难问题。</w:t>
      </w:r>
    </w:p>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14:paraId="0B43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19" w:type="dxa"/>
            <w:vAlign w:val="center"/>
          </w:tcPr>
          <w:p w14:paraId="2873A126">
            <w:pPr>
              <w:jc w:val="center"/>
              <w:rPr>
                <w:rFonts w:ascii="黑体" w:hAnsi="黑体" w:eastAsia="黑体"/>
                <w:sz w:val="24"/>
              </w:rPr>
            </w:pPr>
            <w:r>
              <w:rPr>
                <w:rFonts w:hint="eastAsia" w:ascii="黑体" w:hAnsi="黑体" w:eastAsia="黑体"/>
                <w:sz w:val="24"/>
              </w:rPr>
              <w:t>专栏7“十四五”时期我区基础设施重点项目</w:t>
            </w:r>
          </w:p>
        </w:tc>
      </w:tr>
      <w:tr w14:paraId="70F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0" w:hRule="atLeast"/>
        </w:trPr>
        <w:tc>
          <w:tcPr>
            <w:tcW w:w="9219" w:type="dxa"/>
            <w:vAlign w:val="center"/>
          </w:tcPr>
          <w:p w14:paraId="3B8C37F4">
            <w:pPr>
              <w:adjustRightInd w:val="0"/>
              <w:snapToGrid w:val="0"/>
              <w:spacing w:line="360" w:lineRule="auto"/>
              <w:rPr>
                <w:rFonts w:ascii="宋体" w:hAnsi="宋体" w:cs="仿宋_GB2312"/>
                <w:sz w:val="24"/>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1.交通设施：</w:t>
            </w:r>
            <w:r>
              <w:rPr>
                <w:rFonts w:hint="eastAsia" w:ascii="宋体" w:hAnsi="宋体" w:cs="楷体_GB2312"/>
                <w:sz w:val="24"/>
              </w:rPr>
              <w:t>省道S265线宝马路口至南盛江罗高速出口公路扩建工程</w:t>
            </w:r>
            <w:r>
              <w:rPr>
                <w:rFonts w:hint="eastAsia" w:ascii="宋体" w:hAnsi="宋体" w:cs="仿宋_GB2312"/>
                <w:sz w:val="24"/>
              </w:rPr>
              <w:t>、省道S265（前锋围仔段）至江罗高速南盛出口连接线工程、省道S537线（云城区段）高要交界至凤凰坳段改建工程、云城区思劳东高速出入口连接线工程、县道X470线南盛十八坑至江罗高速出口连接线段扩建工程、县道X470小珠线扩建工程(K25+187-K37+690）、云城区云石大道东海钢铁至金晟兰建设工程、深南高铁云浮站站城一体化项目、广东金属智造科技产业园基础设施工程项目、广东金属智造科技产业园基础设施工程项目（二期）、广东金属智造科技产业园（腰古片区）交通主干道项目建设工程（东部快线南延段、腰古横三路）。</w:t>
            </w:r>
          </w:p>
          <w:p w14:paraId="37FD0E39">
            <w:pPr>
              <w:adjustRightInd w:val="0"/>
              <w:snapToGrid w:val="0"/>
              <w:spacing w:line="360" w:lineRule="auto"/>
              <w:rPr>
                <w:rFonts w:ascii="宋体" w:hAnsi="宋体" w:cs="楷体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2.能源设施：</w:t>
            </w:r>
            <w:r>
              <w:rPr>
                <w:rFonts w:hint="eastAsia" w:ascii="宋体" w:hAnsi="宋体" w:cs="楷体_GB2312"/>
                <w:color w:val="0D0D0D" w:themeColor="text1" w:themeTint="F2"/>
                <w:sz w:val="24"/>
                <w14:textFill>
                  <w14:solidFill>
                    <w14:schemeClr w14:val="tx1">
                      <w14:lumMod w14:val="95000"/>
                      <w14:lumOff w14:val="5000"/>
                    </w14:schemeClr>
                  </w14:solidFill>
                </w14:textFill>
              </w:rPr>
              <w:t xml:space="preserve"> 500千伏云城输变电工程、220千伏金晟兰变电站接入系统工程、220千伏华润西江电厂接入工程、220千伏广云输变电工程、云浮云城110kV大朗输变电工程、10(20)KV及以下配电网基建项目。</w:t>
            </w:r>
          </w:p>
          <w:p w14:paraId="43BFC04E">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3.水利设施：</w:t>
            </w:r>
            <w:r>
              <w:rPr>
                <w:rFonts w:hint="eastAsia" w:ascii="宋体" w:hAnsi="宋体" w:cs="仿宋_GB2312"/>
                <w:color w:val="0D0D0D" w:themeColor="text1" w:themeTint="F2"/>
                <w:sz w:val="24"/>
                <w14:textFill>
                  <w14:solidFill>
                    <w14:schemeClr w14:val="tx1">
                      <w14:lumMod w14:val="95000"/>
                      <w14:lumOff w14:val="5000"/>
                    </w14:schemeClr>
                  </w14:solidFill>
                </w14:textFill>
              </w:rPr>
              <w:t>云浮市云城区碧道建设工程、云浮市云城区重点河段综合整治工程、云城区农村饮水安全巩固提升工程、云浮市云城区金属智造科技产业园（腰古片区）自来水供水工程、云城区腰古镇污水管网建设工程、云城区小型水库除险加固工程。</w:t>
            </w:r>
          </w:p>
          <w:p w14:paraId="42A1766D">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4.新型基础设施：</w:t>
            </w:r>
            <w:r>
              <w:rPr>
                <w:rFonts w:hint="eastAsia" w:ascii="宋体" w:hAnsi="宋体" w:cs="仿宋_GB2312"/>
                <w:color w:val="0D0D0D" w:themeColor="text1" w:themeTint="F2"/>
                <w:sz w:val="24"/>
                <w14:textFill>
                  <w14:solidFill>
                    <w14:schemeClr w14:val="tx1">
                      <w14:lumMod w14:val="95000"/>
                      <w14:lumOff w14:val="5000"/>
                    </w14:schemeClr>
                  </w14:solidFill>
                </w14:textFill>
              </w:rPr>
              <w:t>云浮云城区中心城区智能停车工程、云城区旧城区改造及立体智能停车场建设工程、广东金属智造科技产业园配套智慧服务中心。</w:t>
            </w:r>
          </w:p>
        </w:tc>
      </w:tr>
    </w:tbl>
    <w:p w14:paraId="7EC18511">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14:paraId="2F209FB1">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7" w:name="_Toc671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促进消费扩容提质</w:t>
      </w:r>
      <w:bookmarkEnd w:id="77"/>
    </w:p>
    <w:p w14:paraId="727046D4">
      <w:pPr>
        <w:pStyle w:val="17"/>
        <w:adjustRightInd w:val="0"/>
        <w:snapToGrid w:val="0"/>
        <w:spacing w:after="0" w:line="600" w:lineRule="exact"/>
        <w:ind w:left="0" w:leftChars="0" w:firstLine="640"/>
        <w:rPr>
          <w:rFonts w:ascii="仿宋_GB2312" w:hAnsi="仿宋_GB2312" w:cs="仿宋_GB2312"/>
          <w:szCs w:val="32"/>
        </w:rPr>
      </w:pPr>
      <w:r>
        <w:rPr>
          <w:rFonts w:hint="eastAsia" w:ascii="仿宋_GB2312" w:hAnsi="仿宋_GB2312" w:cs="仿宋_GB2312"/>
          <w:szCs w:val="32"/>
        </w:rPr>
        <w:t>立足国内、省内、市域循环，充分挖掘消费内生潜能，实施消费提升行动，着力打造市域消费中心。</w:t>
      </w:r>
    </w:p>
    <w:p w14:paraId="4E8F89A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打造市域消费中心。</w:t>
      </w:r>
      <w:r>
        <w:rPr>
          <w:rFonts w:hint="eastAsia" w:ascii="仿宋_GB2312"/>
          <w:szCs w:val="32"/>
        </w:rPr>
        <w:t>以都市圈建设为抓手，结合市域发展布局打造市域消费中心。加快建设“以大型商业综合体、购物中心”等为核心的商业都市圈、以“高端CBD、五星级酒店、会展中心”等为支撑的商务都市圈和以“高铁站、珠三角第二机场等联南向东交通优势”为基础的“融湾”都市圈，聚力打造商业步行街、商业综合体、精品旅游线路、商务交流中心等夜间经济、假日经济、生态经济、高铁经济集聚区，活跃消费市场、引导消费回流。巩固提升传统消费，打造石材、优质农产品聚集区，推动汽车、家电等大宗消费，促进住房消费健康发展，促进养老、文化、教育等服务消费。</w:t>
      </w:r>
      <w:r>
        <w:rPr>
          <w:rFonts w:hint="eastAsia" w:ascii="宋体" w:hAnsi="宋体"/>
          <w:color w:val="0D0D0D" w:themeColor="text1" w:themeTint="F2"/>
          <w:szCs w:val="32"/>
          <w14:textFill>
            <w14:solidFill>
              <w14:schemeClr w14:val="tx1">
                <w14:lumMod w14:val="95000"/>
                <w14:lumOff w14:val="5000"/>
              </w14:schemeClr>
            </w14:solidFill>
          </w14:textFill>
        </w:rPr>
        <w:t>促进社区生活服务业发展，大力发展邻里中心、生鲜超市等社区商业，引入“餐饮体验</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超市零售</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基于门店的电商配送”的商业模式，打通社区商业“最后一公里”，加快形成社区便民商圈。</w:t>
      </w:r>
    </w:p>
    <w:p w14:paraId="4056EBA9">
      <w:pPr>
        <w:pStyle w:val="183"/>
        <w:widowControl w:val="0"/>
        <w:spacing w:line="608" w:lineRule="exact"/>
        <w:ind w:firstLine="643" w:firstLineChars="200"/>
        <w:rPr>
          <w:rFonts w:ascii="仿宋_GB2312"/>
          <w:szCs w:val="32"/>
        </w:rPr>
      </w:pPr>
      <w:r>
        <w:rPr>
          <w:rFonts w:hint="eastAsia" w:ascii="仿宋_GB2312"/>
          <w:b/>
          <w:bCs/>
          <w:szCs w:val="32"/>
        </w:rPr>
        <w:t>打造康养中心。</w:t>
      </w:r>
      <w:r>
        <w:rPr>
          <w:rFonts w:hint="eastAsia" w:ascii="仿宋_GB2312"/>
          <w:szCs w:val="32"/>
        </w:rPr>
        <w:t>深入探索</w:t>
      </w:r>
      <w:r>
        <w:rPr>
          <w:rFonts w:hint="eastAsia" w:ascii="宋体" w:hAnsi="宋体"/>
          <w:szCs w:val="32"/>
        </w:rPr>
        <w:t>“</w:t>
      </w:r>
      <w:r>
        <w:rPr>
          <w:rFonts w:hint="eastAsia" w:ascii="仿宋_GB2312"/>
          <w:szCs w:val="32"/>
        </w:rPr>
        <w:t>健康中国</w:t>
      </w:r>
      <w:r>
        <w:rPr>
          <w:rFonts w:hint="eastAsia" w:ascii="宋体" w:hAnsi="宋体"/>
          <w:szCs w:val="32"/>
        </w:rPr>
        <w:t>”</w:t>
      </w:r>
      <w:r>
        <w:rPr>
          <w:rFonts w:hint="eastAsia" w:ascii="仿宋_GB2312"/>
          <w:szCs w:val="32"/>
        </w:rPr>
        <w:t>战略下康养产业发展的新路径，充分发挥生态资源优势和毗邻大湾区区位优势，谋划建设康养中心、康养学院，培育壮大康养产业。推动康养产业</w:t>
      </w:r>
      <w:r>
        <w:rPr>
          <w:rFonts w:hint="eastAsia" w:ascii="宋体" w:hAnsi="宋体"/>
          <w:szCs w:val="32"/>
        </w:rPr>
        <w:t>“</w:t>
      </w:r>
      <w:r>
        <w:rPr>
          <w:rFonts w:hint="eastAsia" w:ascii="仿宋_GB2312"/>
          <w:szCs w:val="32"/>
        </w:rPr>
        <w:t>产学研游”协同发展，培养专业化康养人才。深挖云城特色农业资源和特色文化资源，积极探索“现代农业+康养休闲”“特色文化+康养旅游”等模式，谋划建设一批乡村康养项目，打造一批特色鲜明、兼具红色文化教育功能的旅游景点、度假村落。结合新型智慧城市建设，大力推进数字化康养服务。加强与大湾区城市、康养企业沟通交流，携手做大做强康养产业链。</w:t>
      </w:r>
    </w:p>
    <w:p w14:paraId="139FFE9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激活传统商品消费热点。</w:t>
      </w:r>
      <w:r>
        <w:rPr>
          <w:rFonts w:hint="eastAsia" w:ascii="宋体" w:hAnsi="宋体"/>
          <w:color w:val="0D0D0D" w:themeColor="text1" w:themeTint="F2"/>
          <w:szCs w:val="32"/>
          <w14:textFill>
            <w14:solidFill>
              <w14:schemeClr w14:val="tx1">
                <w14:lumMod w14:val="95000"/>
                <w14:lumOff w14:val="5000"/>
              </w14:schemeClr>
            </w14:solidFill>
          </w14:textFill>
        </w:rPr>
        <w:t>大力促进汽车消费，继续落实好延长新能源车购置补贴和税收优惠、减征二手车销售增值税、支持老旧柴油货车淘汰等新政策新措施。鼓励企业开展消费电子产品以旧换新，促进绿色节能家电、家具消费。重振云城老字号品牌，实施老字号“一品一策一方案”工作。加强南乳花生、新云饼家等老字号技艺保护和原址保护，打造老字号高品位地标和主题街区。</w:t>
      </w:r>
      <w:r>
        <w:rPr>
          <w:rFonts w:hint="eastAsia" w:ascii="仿宋_GB2312"/>
          <w:szCs w:val="32"/>
        </w:rPr>
        <w:t>大力挖潜农村消费需求，构建联结城乡的电商物流</w:t>
      </w:r>
      <w:r>
        <w:rPr>
          <w:rFonts w:hint="eastAsia" w:ascii="仿宋_GB2312"/>
          <w:spacing w:val="-4"/>
          <w:szCs w:val="32"/>
        </w:rPr>
        <w:t>体系。</w:t>
      </w:r>
    </w:p>
    <w:p w14:paraId="26345B1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培育发展新型消费。</w:t>
      </w:r>
      <w:r>
        <w:rPr>
          <w:rFonts w:hint="eastAsia" w:ascii="宋体" w:hAnsi="宋体"/>
          <w:color w:val="0D0D0D" w:themeColor="text1" w:themeTint="F2"/>
          <w:szCs w:val="32"/>
          <w14:textFill>
            <w14:solidFill>
              <w14:schemeClr w14:val="tx1">
                <w14:lumMod w14:val="95000"/>
                <w14:lumOff w14:val="5000"/>
              </w14:schemeClr>
            </w14:solidFill>
          </w14:textFill>
        </w:rPr>
        <w:t>加快推进康养中心建设，打造消费新热点。加快发展“小店经济”“舌尖经济”“宅经济”等新兴消费领域。推动商旅文体跨境融合，充分发掘利用“云石文化”“民俗文化”“红色文化”，建设云城艺术商圈。鼓励政企合作打造蟠龙天湖等一批夜间经济文化聚集区和高质量“文化</w:t>
      </w:r>
      <w:r>
        <w:rPr>
          <w:rFonts w:ascii="宋体" w:hAnsi="宋体"/>
          <w:color w:val="0D0D0D" w:themeColor="text1" w:themeTint="F2"/>
          <w:szCs w:val="32"/>
          <w14:textFill>
            <w14:solidFill>
              <w14:schemeClr w14:val="tx1">
                <w14:lumMod w14:val="95000"/>
                <w14:lumOff w14:val="5000"/>
              </w14:schemeClr>
            </w14:solidFill>
          </w14:textFill>
        </w:rPr>
        <w:t>IP</w:t>
      </w:r>
      <w:r>
        <w:rPr>
          <w:rFonts w:hint="eastAsia" w:ascii="宋体" w:hAnsi="宋体"/>
          <w:color w:val="0D0D0D" w:themeColor="text1" w:themeTint="F2"/>
          <w:szCs w:val="32"/>
          <w14:textFill>
            <w14:solidFill>
              <w14:schemeClr w14:val="tx1">
                <w14:lumMod w14:val="95000"/>
                <w14:lumOff w14:val="5000"/>
              </w14:schemeClr>
            </w14:solidFill>
          </w14:textFill>
        </w:rPr>
        <w:t>打卡地”，促进夜间经济繁荣发展。鼓励实体商业通过直播带货、社群电商开启“云逛街”等新模式，探索发展智慧超市、智慧商店、智慧餐厅等新零售业态，推动消费新业态新模式新场景加速普及应用。</w:t>
      </w:r>
    </w:p>
    <w:p w14:paraId="46D75272">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14:paraId="09A2FC06">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8" w:name="_Toc258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推动外贸高质量发展</w:t>
      </w:r>
      <w:bookmarkEnd w:id="78"/>
    </w:p>
    <w:p w14:paraId="5A61BECB">
      <w:pPr>
        <w:pStyle w:val="17"/>
        <w:adjustRightInd w:val="0"/>
        <w:snapToGrid w:val="0"/>
        <w:spacing w:after="0" w:line="600" w:lineRule="exact"/>
        <w:ind w:left="0" w:leftChars="0" w:firstLine="643"/>
        <w:rPr>
          <w:rFonts w:ascii="宋体" w:hAnsi="宋体"/>
          <w:color w:val="0D0D0D" w:themeColor="text1" w:themeTint="F2"/>
          <w:szCs w:val="32"/>
          <w:lang w:eastAsia="zh-TW"/>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培育外贸新增长点。</w:t>
      </w:r>
      <w:r>
        <w:rPr>
          <w:rFonts w:hint="eastAsia" w:ascii="宋体" w:hAnsi="宋体"/>
          <w:color w:val="0D0D0D" w:themeColor="text1" w:themeTint="F2"/>
          <w:szCs w:val="32"/>
          <w14:textFill>
            <w14:solidFill>
              <w14:schemeClr w14:val="tx1">
                <w14:lumMod w14:val="95000"/>
                <w14:lumOff w14:val="5000"/>
              </w14:schemeClr>
            </w14:solidFill>
          </w14:textFill>
        </w:rPr>
        <w:t>积极应对外贸严峻形势，落实省、市系列稳外贸扶持政策，保障外贸产业链、供应链畅通运转，推动全区外贸稳定高质量发展。鼓励加工贸易企业转型升级，支持本土民营外贸生产企业发展壮大。有序推进市场采购、跨境电商等外贸新业态。用足用好外经贸扶持资金，加大对一般贸易、民营企业政策扶持，着力提高一般贸易、服务贸易和民营企业出口比重。积极推进石材保税仓等项目建设。</w:t>
      </w:r>
    </w:p>
    <w:p w14:paraId="75EDA8D9">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积极开拓“一带一路”新兴国家市场。</w:t>
      </w:r>
      <w:r>
        <w:rPr>
          <w:rFonts w:hint="eastAsia" w:ascii="宋体" w:hAnsi="宋体"/>
          <w:color w:val="0D0D0D" w:themeColor="text1" w:themeTint="F2"/>
          <w:szCs w:val="32"/>
          <w14:textFill>
            <w14:solidFill>
              <w14:schemeClr w14:val="tx1">
                <w14:lumMod w14:val="95000"/>
                <w14:lumOff w14:val="5000"/>
              </w14:schemeClr>
            </w14:solidFill>
          </w14:textFill>
        </w:rPr>
        <w:t>积极组织企业参加各类境内外展会，帮助外向型企业“走出去”抢占国际市场，促进外贸市场多元化。积极对接粤港澳大湾区加工贸易产业共建和转移，培育加工贸易梯度转移承接示范基地。鼓励企业主动探索商业模式创新，支持传统生产型企业和外贸企业利用跨境电商平台开拓国际市场，不断提高外贸发展的质量和效益。</w:t>
      </w:r>
    </w:p>
    <w:p w14:paraId="5D55540C">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79" w:name="_Toc1371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增强招商引资力度</w:t>
      </w:r>
      <w:bookmarkEnd w:id="79"/>
    </w:p>
    <w:p w14:paraId="798AA6A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突出招大引强。</w:t>
      </w:r>
      <w:r>
        <w:rPr>
          <w:rFonts w:hint="eastAsia" w:ascii="宋体" w:hAnsi="宋体"/>
          <w:color w:val="0D0D0D" w:themeColor="text1" w:themeTint="F2"/>
          <w:szCs w:val="32"/>
          <w14:textFill>
            <w14:solidFill>
              <w14:schemeClr w14:val="tx1">
                <w14:lumMod w14:val="95000"/>
                <w14:lumOff w14:val="5000"/>
              </w14:schemeClr>
            </w14:solidFill>
          </w14:textFill>
        </w:rPr>
        <w:t>坚持把壮大税源经济作为招商引资主攻方向，把吸引外资和重大内资项目作为突破口，紧盯金属智造、石材机械、健康医药、现代农业、现代物流等战略性支柱产业发展前沿，追踪国内外重点企业产业布局和投资动态，重点盯引央企、中国民营</w:t>
      </w:r>
      <w:r>
        <w:rPr>
          <w:rFonts w:ascii="宋体" w:hAnsi="宋体"/>
          <w:color w:val="0D0D0D" w:themeColor="text1" w:themeTint="F2"/>
          <w:szCs w:val="32"/>
          <w14:textFill>
            <w14:solidFill>
              <w14:schemeClr w14:val="tx1">
                <w14:lumMod w14:val="95000"/>
                <w14:lumOff w14:val="5000"/>
              </w14:schemeClr>
            </w14:solidFill>
          </w14:textFill>
        </w:rPr>
        <w:t>500</w:t>
      </w:r>
      <w:r>
        <w:rPr>
          <w:rFonts w:hint="eastAsia" w:ascii="宋体" w:hAnsi="宋体"/>
          <w:color w:val="0D0D0D" w:themeColor="text1" w:themeTint="F2"/>
          <w:szCs w:val="32"/>
          <w14:textFill>
            <w14:solidFill>
              <w14:schemeClr w14:val="tx1">
                <w14:lumMod w14:val="95000"/>
                <w14:lumOff w14:val="5000"/>
              </w14:schemeClr>
            </w14:solidFill>
          </w14:textFill>
        </w:rPr>
        <w:t>强、行业</w:t>
      </w:r>
      <w:r>
        <w:rPr>
          <w:rFonts w:ascii="宋体" w:hAnsi="宋体"/>
          <w:color w:val="0D0D0D" w:themeColor="text1" w:themeTint="F2"/>
          <w:szCs w:val="32"/>
          <w14:textFill>
            <w14:solidFill>
              <w14:schemeClr w14:val="tx1">
                <w14:lumMod w14:val="95000"/>
                <w14:lumOff w14:val="5000"/>
              </w14:schemeClr>
            </w14:solidFill>
          </w14:textFill>
        </w:rPr>
        <w:t>100</w:t>
      </w:r>
      <w:r>
        <w:rPr>
          <w:rFonts w:hint="eastAsia" w:ascii="宋体" w:hAnsi="宋体"/>
          <w:color w:val="0D0D0D" w:themeColor="text1" w:themeTint="F2"/>
          <w:szCs w:val="32"/>
          <w14:textFill>
            <w14:solidFill>
              <w14:schemeClr w14:val="tx1">
                <w14:lumMod w14:val="95000"/>
                <w14:lumOff w14:val="5000"/>
              </w14:schemeClr>
            </w14:solidFill>
          </w14:textFill>
        </w:rPr>
        <w:t>强等大企业，大力支持发展总部经济。注重教育、医疗、信息、商贸、文化、旅游、养老等公共服务业招商，努力引进一批投资大、税收高、效益好的项目。</w:t>
      </w:r>
    </w:p>
    <w:p w14:paraId="648C1184">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仿宋_GB2312" w:hAnsi="仿宋_GB2312" w:cs="仿宋_GB2312"/>
          <w:b/>
          <w:bCs/>
          <w:color w:val="000000"/>
          <w:szCs w:val="32"/>
        </w:rPr>
        <w:t>明确招商方向。</w:t>
      </w:r>
      <w:r>
        <w:rPr>
          <w:rFonts w:hint="eastAsia" w:ascii="仿宋_GB2312" w:hAnsi="仿宋_GB2312" w:cs="仿宋_GB2312"/>
          <w:color w:val="000000"/>
          <w:szCs w:val="32"/>
        </w:rPr>
        <w:t>聚焦</w:t>
      </w:r>
      <w:r>
        <w:rPr>
          <w:rFonts w:hint="eastAsia" w:ascii="仿宋_GB2312" w:hAnsi="仿宋_GB2312" w:cs="仿宋_GB2312"/>
          <w:bCs/>
          <w:color w:val="000000"/>
          <w:kern w:val="0"/>
          <w:szCs w:val="32"/>
          <w:lang w:bidi="ar"/>
        </w:rPr>
        <w:t>新型工业化，围绕</w:t>
      </w:r>
      <w:r>
        <w:rPr>
          <w:rFonts w:hint="eastAsia" w:ascii="仿宋_GB2312" w:hAnsi="仿宋_GB2312" w:cs="仿宋_GB2312"/>
          <w:bCs/>
          <w:color w:val="000000"/>
          <w:szCs w:val="32"/>
        </w:rPr>
        <w:t>金属智造、健康医药、绿色石材等产业及配套产业实施产业链招商，着力引进一批占地少、科技含量高、附加值高的产业链供应链项目。聚焦</w:t>
      </w:r>
      <w:r>
        <w:rPr>
          <w:rFonts w:hint="eastAsia" w:ascii="仿宋_GB2312" w:hAnsi="仿宋_GB2312" w:cs="仿宋_GB2312"/>
          <w:bCs/>
          <w:color w:val="000000"/>
          <w:kern w:val="0"/>
          <w:szCs w:val="32"/>
          <w:lang w:bidi="ar"/>
        </w:rPr>
        <w:t>新型城镇化，围绕</w:t>
      </w:r>
      <w:r>
        <w:rPr>
          <w:rFonts w:hint="eastAsia" w:ascii="仿宋_GB2312" w:hAnsi="仿宋_GB2312" w:cs="仿宋_GB2312"/>
          <w:bCs/>
          <w:color w:val="000000"/>
          <w:szCs w:val="32"/>
        </w:rPr>
        <w:t>城市首位度提升、“三旧”改造、市域消费中心打造等，引进城市综合体、城市更新以及商贸、会展、教育、医疗等公共服务项目。聚焦</w:t>
      </w:r>
      <w:r>
        <w:rPr>
          <w:rFonts w:hint="eastAsia" w:ascii="仿宋_GB2312" w:hAnsi="仿宋_GB2312" w:cs="仿宋_GB2312"/>
          <w:bCs/>
          <w:color w:val="000000"/>
          <w:kern w:val="0"/>
          <w:szCs w:val="32"/>
        </w:rPr>
        <w:t>壮大镇域经济，围绕</w:t>
      </w:r>
      <w:r>
        <w:rPr>
          <w:rFonts w:hint="eastAsia" w:ascii="仿宋_GB2312" w:hAnsi="仿宋_GB2312" w:cs="仿宋_GB2312"/>
          <w:color w:val="000000"/>
          <w:szCs w:val="32"/>
        </w:rPr>
        <w:t>美丽圩镇创建、镇域品质提升，大力引进绿色种植基地、深加工项目和圩镇改造提升项目。聚焦</w:t>
      </w:r>
      <w:r>
        <w:rPr>
          <w:rFonts w:hint="eastAsia" w:ascii="仿宋_GB2312" w:hAnsi="仿宋_GB2312" w:cs="仿宋_GB2312"/>
          <w:bCs/>
          <w:color w:val="000000"/>
          <w:szCs w:val="32"/>
        </w:rPr>
        <w:t>融入“三区”“六地”</w:t>
      </w:r>
      <w:r>
        <w:rPr>
          <w:rFonts w:hint="eastAsia" w:ascii="仿宋_GB2312" w:hAnsi="仿宋_GB2312" w:cs="仿宋_GB2312"/>
          <w:color w:val="000000"/>
          <w:szCs w:val="32"/>
          <w:vertAlign w:val="superscript"/>
        </w:rPr>
        <w:t>⑦</w:t>
      </w:r>
      <w:r>
        <w:rPr>
          <w:rFonts w:hint="eastAsia" w:ascii="仿宋_GB2312" w:hAnsi="仿宋_GB2312" w:cs="仿宋_GB2312"/>
          <w:bCs/>
          <w:color w:val="000000"/>
          <w:szCs w:val="32"/>
        </w:rPr>
        <w:t>建设，围绕参与大湾区产业链、供应链协作分工，加强现代农业、现代物流、康养文旅等产业招商。</w:t>
      </w:r>
    </w:p>
    <w:p w14:paraId="18AB6832">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创新招商方式。</w:t>
      </w:r>
      <w:r>
        <w:rPr>
          <w:rFonts w:hint="eastAsia" w:ascii="仿宋_GB2312" w:hAnsi="仿宋_GB2312" w:cs="仿宋_GB2312"/>
          <w:bCs/>
          <w:color w:val="000000"/>
          <w:szCs w:val="32"/>
        </w:rPr>
        <w:t>完善</w:t>
      </w:r>
      <w:r>
        <w:rPr>
          <w:rFonts w:hint="eastAsia" w:ascii="仿宋_GB2312" w:hAnsi="仿宋_GB2312" w:cs="仿宋_GB2312"/>
          <w:color w:val="000000"/>
          <w:kern w:val="0"/>
          <w:szCs w:val="32"/>
        </w:rPr>
        <w:t>招商工作体制机制，</w:t>
      </w:r>
      <w:r>
        <w:rPr>
          <w:rFonts w:hint="eastAsia" w:ascii="宋体" w:hAnsi="宋体"/>
          <w:color w:val="0D0D0D" w:themeColor="text1" w:themeTint="F2"/>
          <w:szCs w:val="32"/>
          <w14:textFill>
            <w14:solidFill>
              <w14:schemeClr w14:val="tx1">
                <w14:lumMod w14:val="95000"/>
                <w14:lumOff w14:val="5000"/>
              </w14:schemeClr>
            </w14:solidFill>
          </w14:textFill>
        </w:rPr>
        <w:t>鼓励“一把手”带队、跨部门组建招商引资专项小分队，锁定重点行业和目标企业，进行上门“点对点”精准招商。依托在外商会和云商资源，在重点地区开展驻点招商。鼓励以购买服务的方式与知名投资咨询机构、“四大所”“五大行”等开展合作。推动“屏对屏”替代“面对面”招商，打造线上线下全天候招商合作新模式。</w:t>
      </w:r>
    </w:p>
    <w:p w14:paraId="27E895C5">
      <w:pPr>
        <w:pStyle w:val="4"/>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80" w:name="_Toc22313"/>
      <w:bookmarkStart w:id="81" w:name="_Hlk53584635"/>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第七章 推进新型城镇化建设，加快推动区域协调发展</w:t>
      </w:r>
      <w:bookmarkEnd w:id="80"/>
      <w:bookmarkEnd w:id="81"/>
    </w:p>
    <w:p w14:paraId="56EAFA3E">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坚定不移走以人为核心的新型城镇化道路，优化构建“区域协同、梯次发展”的城乡空间布局，巩固提高城乡融合发展水平，提升区域发展的平衡性和协调性。</w:t>
      </w:r>
    </w:p>
    <w:p w14:paraId="7B290739">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2" w:name="_Toc184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全力提升中心城区首位度</w:t>
      </w:r>
      <w:bookmarkEnd w:id="82"/>
    </w:p>
    <w:p w14:paraId="67B6C425">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聚焦优化公共服务设施提标扩面、促进环境卫生设施提级扩能、加快市政公共设施提档升级、推动产业培育设施提质增效，把全周期理念贯穿城市规划、建设、服务、管理全过程，整体提升中心城区首位度。</w:t>
      </w:r>
    </w:p>
    <w:p w14:paraId="5366717A">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大力发展城市经济。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充分发挥中心城区辐射带动作用，打造云浮市政治、文化和经济中心，进一步提升对内凝聚力，对外影响力。打造云城、高峰成为城市功能核心区，重点发展金融、商贸、商务、会展、咨询等高端服务业，带动总部经济集聚。加快引进以城市综合体、会展博览中心为代表的各类城市经济项目，繁荣城市商圈。依托南山河河岸现有资源如古桥、古亭等，沿岸线配置功能多元复合的公共空间，助力云城打造成为云浮市绿色、高效、活力的</w:t>
      </w:r>
      <w:r>
        <w:rPr>
          <w:rFonts w:ascii="宋体" w:hAnsi="宋体" w:cs="宋体"/>
          <w:color w:val="0D0D0D" w:themeColor="text1" w:themeTint="F2"/>
          <w:kern w:val="0"/>
          <w:szCs w:val="32"/>
          <w14:textFill>
            <w14:solidFill>
              <w14:schemeClr w14:val="tx1">
                <w14:lumMod w14:val="95000"/>
                <w14:lumOff w14:val="5000"/>
              </w14:schemeClr>
            </w14:solidFill>
          </w14:textFill>
        </w:rPr>
        <w:t>CBD</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（中央商务区）。</w:t>
      </w:r>
    </w:p>
    <w:p w14:paraId="520B7B39">
      <w:pPr>
        <w:pStyle w:val="39"/>
        <w:spacing w:line="580" w:lineRule="exact"/>
        <w:ind w:firstLine="630" w:firstLineChars="196"/>
        <w:rPr>
          <w:rFonts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kern w:val="0"/>
          <w14:textFill>
            <w14:solidFill>
              <w14:schemeClr w14:val="tx1">
                <w14:lumMod w14:val="95000"/>
                <w14:lumOff w14:val="5000"/>
              </w14:schemeClr>
            </w14:solidFill>
          </w14:textFill>
        </w:rPr>
        <w:t>加快推进城市更新。</w:t>
      </w:r>
      <w:r>
        <w:rPr>
          <w:rFonts w:hint="eastAsia"/>
        </w:rPr>
        <w:t>大力构建“外快交通网”和“内畅路网”，继续贯通一批城区“瓶颈路”，改造一批城区横街窄巷。优化重要路段交通组织，加大交通拥堵点专项整治力度。</w:t>
      </w:r>
      <w:r>
        <w:rPr>
          <w:rFonts w:hint="eastAsia" w:ascii="宋体" w:hAnsi="宋体" w:cs="宋体"/>
          <w:kern w:val="0"/>
        </w:rPr>
        <w:t>对接市“一江四组团”整体规划，加强与新城组团、六都组团协调创新发展，抓好腰古-思劳、蟠龙天湖“城市客厅”等片区谋划建设，优化完善片区周边服务配套。补齐城市基础设施短板，重点支持完善水、电、气、路、信等配套基础设施。调整优化用地结构，适当提高公共管理及公共事务用地比重，建成一批教育、医疗、社会福利、社区综合服务等公益性设施。加快推进南山河“一河两岸”景观提升工程，高品质打造一条融休闲运动、观光于一体的城市河滨休闲观光带。加快蟠龙天湖“城市客厅”、云浮大金山康体产业、城南酒吧风情街改造提升等项目建设。统筹谋划一批大型城市综合体，谋划推动河口市政综合用地片区建设。</w:t>
      </w:r>
      <w:r>
        <w:rPr>
          <w:rFonts w:hint="eastAsia" w:ascii="宋体" w:hAnsi="宋体" w:cs="宋体"/>
          <w:color w:val="0D0D0D" w:themeColor="text1" w:themeTint="F2"/>
          <w:kern w:val="0"/>
          <w14:textFill>
            <w14:solidFill>
              <w14:schemeClr w14:val="tx1">
                <w14:lumMod w14:val="95000"/>
                <w14:lumOff w14:val="5000"/>
              </w14:schemeClr>
            </w14:solidFill>
          </w14:textFill>
        </w:rPr>
        <w:t>加快区域内的旧村庄、旧厂房改造，强化历史文化保护、塑造城市风貌，常抓不懈开展背街小巷环境精细化整治提升，分类推进老旧小区综合整治，重点抓好物业管理、加装电梯、居家养老、便民设施等工作，探索城市微改造更新改造新模式，引入社会资本参与。加快推进河口片区、城西片区城市综合体建设。</w:t>
      </w:r>
      <w:r>
        <w:rPr>
          <w:rFonts w:hint="eastAsia" w:ascii="宋体" w:hAnsi="宋体" w:cs="宋体"/>
          <w:kern w:val="0"/>
        </w:rPr>
        <w:t>提升城市防洪排涝能力，系统化全域推进海绵城市建设。</w:t>
      </w:r>
    </w:p>
    <w:p w14:paraId="0B4B14DA">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全面推进城市精细化管理。</w:t>
      </w:r>
      <w:r>
        <w:rPr>
          <w:rFonts w:hint="eastAsia" w:ascii="仿宋_GB2312"/>
          <w:szCs w:val="32"/>
        </w:rPr>
        <w:t>以社区为基础，不断提升城市的治理水平。推动配套资源向街道社区下沉，增强社区综合服务功能。持续开展“干净整洁平安有序”城市创建，深化市容秩序分类管理。推进城中村综合治理，消除城乡结合部违法建筑和脏乱差现象。扩建、新建公共停车场，加强智慧停车管理，切实解决“停车难”问题。</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加快数字化城管系统建设，倾力打造全时段监控、全视角监督、全方位考评独具特色的智慧化城市管理平台。</w:t>
      </w:r>
    </w:p>
    <w:p w14:paraId="0A5F4C81">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3" w:name="_Toc358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加快农业转移人口市民化</w:t>
      </w:r>
      <w:bookmarkEnd w:id="83"/>
    </w:p>
    <w:p w14:paraId="1573657E">
      <w:pPr>
        <w:adjustRightInd w:val="0"/>
        <w:snapToGrid w:val="0"/>
        <w:spacing w:line="600" w:lineRule="exact"/>
        <w:ind w:firstLine="72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深化户籍制度改革。</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着力推动有能力在城镇稳定就业的新生代农民工、在城镇稳定就业居住的农业转移人口及随迁人口和其他非户籍等重点人群应落尽落。完善财政转移支付和城镇新增建设用地规模与农业转移人口市民化挂钩政策，强化城乡一体化基本公共服务保障，有效增加保障性住房供给。大力提升农业转移人口就业能力，解决已经转移到城镇就业的农业转移人口落户问题，努力提高农民工融入城镇的素质和能力。力争到</w:t>
      </w:r>
      <w:r>
        <w:rPr>
          <w:rFonts w:ascii="宋体" w:hAnsi="宋体" w:cs="宋体"/>
          <w:color w:val="0D0D0D" w:themeColor="text1" w:themeTint="F2"/>
          <w:kern w:val="0"/>
          <w:szCs w:val="32"/>
          <w14:textFill>
            <w14:solidFill>
              <w14:schemeClr w14:val="tx1">
                <w14:lumMod w14:val="95000"/>
                <w14:lumOff w14:val="5000"/>
              </w14:schemeClr>
            </w14:solidFill>
          </w14:textFill>
        </w:rPr>
        <w:t>2025</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年，常住人口城镇化率达到78.5</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，户籍人口城镇化率达到70</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w:t>
      </w:r>
    </w:p>
    <w:p w14:paraId="5B559D6B">
      <w:pPr>
        <w:adjustRightInd w:val="0"/>
        <w:snapToGrid w:val="0"/>
        <w:spacing w:line="600" w:lineRule="exact"/>
        <w:ind w:firstLine="72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维护进城落户农民的基本权益。</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维护进城落户农民土地承包权、宅基地使用权、集体收益分配权，支持引导其依法自愿有偿转让上述权益。尊重进城落户农民意愿，保障进城落户农民民主政治权利，使农业转移人口获得与城镇户籍居民均等一致的社会身份和权利，公平公正地享受城镇公共资源和社会福利，全面参与政治、经济、社会和文化生活，实现经济立足、社会接纳、身份认同和文化交融。</w:t>
      </w:r>
    </w:p>
    <w:p w14:paraId="3D43C6B6">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4" w:name="_Toc2984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推动镇域经济高质量发展</w:t>
      </w:r>
      <w:bookmarkEnd w:id="84"/>
    </w:p>
    <w:p w14:paraId="07F1E2A7">
      <w:pPr>
        <w:adjustRightInd w:val="0"/>
        <w:snapToGrid w:val="0"/>
        <w:spacing w:line="600" w:lineRule="exact"/>
        <w:ind w:firstLine="640"/>
        <w:rPr>
          <w:rFonts w:ascii="仿宋_GB2312"/>
          <w:szCs w:val="32"/>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构建全区差别化的协同发展新格局。</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全面补足镇（街）基层设施短板，推进镇（街）公共服务设施提标扩面、环境卫生设施提级扩能、市政公用设施提档升级、产业培育设施提质增效。全区8个镇（街）坚持立足实情，突出特色，错位竞争、差异发展。</w:t>
      </w:r>
      <w:r>
        <w:rPr>
          <w:rFonts w:hint="eastAsia" w:ascii="宋体" w:hAnsi="宋体" w:cs="宋体"/>
          <w:kern w:val="0"/>
          <w:szCs w:val="32"/>
        </w:rPr>
        <w:t>对接市“一江四组团”整体规划，</w:t>
      </w:r>
      <w:r>
        <w:rPr>
          <w:rFonts w:hint="eastAsia" w:ascii="仿宋_GB2312"/>
          <w:szCs w:val="32"/>
        </w:rPr>
        <w:t>在西部片区（云城街、高峰街）聚力打造城市更新、文旅服务成效凸显的城市功能核心区“新名片”；在中部片区（河口街、安塘街）聚力打造商务荟聚、产业高新、交通便捷的云浮“新门户”；在东部片区（思劳镇、腰古镇）聚力打造产城融合、工业与生态相融的向东“融湾”发展“先锋”；在南部片区（前锋镇、南盛镇）聚力打造生态产业、康养文旅为主的绿色发展“新引擎”。</w:t>
      </w:r>
    </w:p>
    <w:p w14:paraId="23C7F1EF">
      <w:pPr>
        <w:adjustRightInd w:val="0"/>
        <w:snapToGrid w:val="0"/>
        <w:spacing w:line="600" w:lineRule="exact"/>
        <w:ind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搭建镇域经济发展平台。</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多种形式引进资金，建设发展载体，带动一二三产业联动发展。重点推动金属智造科技园、市健康医药产业园、南药产业发展试验区等载体建设，配合做好粤港澳大湾区农产品加工物流配送园区建设。发挥产业集聚、要素集聚、资源集约的“洼地”效应，引导工业向园区集中。按照“功能互补，建链补链”的原则，鼓励支持镇（街）紧密对接省、市支持工业园区发展政策，因地制宜建设中小企业创业园、孵化园和创业培育基地等特色产业集聚区，整合提升现有镇域产业集聚区，为中小企业、群众创业搭建新平台。</w:t>
      </w:r>
    </w:p>
    <w:p w14:paraId="082F69EB">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推动城乡基础设施建设一体化。</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以城乡统筹、资源共享、路运并举、客货兼顾、运邮结合为要求，加快城乡交通基础设施一体化、城乡客运服务一体化、城乡货运物流服务一体化发展步伐。加大力度建设、改造乡镇运输服务站、客运（公交）首末站、公交停靠站、道路客运招呼站、运输车辆停保场、新能源汽车充电站、加氢站等交通基础设施，提升区域交通运营和服务水平。</w:t>
      </w:r>
    </w:p>
    <w:p w14:paraId="36EFD0EE">
      <w:pPr>
        <w:ind w:firstLine="640"/>
      </w:pPr>
    </w:p>
    <w:p w14:paraId="2F2A470A">
      <w:pPr>
        <w:ind w:firstLine="640"/>
      </w:pP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1E33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6F7BBC63">
            <w:pPr>
              <w:jc w:val="center"/>
              <w:rPr>
                <w:rFonts w:ascii="黑体" w:hAnsi="黑体" w:eastAsia="黑体"/>
                <w:sz w:val="24"/>
              </w:rPr>
            </w:pPr>
            <w:r>
              <w:rPr>
                <w:rFonts w:hint="eastAsia" w:ascii="黑体" w:hAnsi="黑体" w:eastAsia="黑体"/>
                <w:sz w:val="24"/>
              </w:rPr>
              <w:t>专栏8“十四五”时期我区镇域经济发展平台重点部署</w:t>
            </w:r>
          </w:p>
        </w:tc>
      </w:tr>
      <w:tr w14:paraId="24A2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trPr>
        <w:tc>
          <w:tcPr>
            <w:tcW w:w="8930" w:type="dxa"/>
            <w:vAlign w:val="center"/>
          </w:tcPr>
          <w:p w14:paraId="4436C158">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1.金属智造科技园。</w:t>
            </w:r>
            <w:r>
              <w:rPr>
                <w:rFonts w:hint="eastAsia" w:ascii="宋体" w:hAnsi="宋体" w:cs="楷体_GB2312"/>
                <w:color w:val="0D0D0D" w:themeColor="text1" w:themeTint="F2"/>
                <w:sz w:val="24"/>
                <w14:textFill>
                  <w14:solidFill>
                    <w14:schemeClr w14:val="tx1">
                      <w14:lumMod w14:val="95000"/>
                      <w14:lumOff w14:val="5000"/>
                    </w14:schemeClr>
                  </w14:solidFill>
                </w14:textFill>
              </w:rPr>
              <w:t>大力培育发展金属智造产业，着力打造粤港澳大湾区优质金属智造企业转移承接地、粤港澳大湾区金属材料的重要供应地、珠江西岸先进装备制造带的示范服务区、华南地区重要的金属智造产业集聚区。</w:t>
            </w:r>
          </w:p>
          <w:p w14:paraId="5B4A0A4C">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2.健康医药产业园：</w:t>
            </w:r>
            <w:r>
              <w:rPr>
                <w:rFonts w:hint="eastAsia" w:ascii="宋体" w:hAnsi="宋体" w:cs="仿宋_GB2312"/>
                <w:color w:val="0D0D0D" w:themeColor="text1" w:themeTint="F2"/>
                <w:sz w:val="24"/>
                <w14:textFill>
                  <w14:solidFill>
                    <w14:schemeClr w14:val="tx1">
                      <w14:lumMod w14:val="95000"/>
                      <w14:lumOff w14:val="5000"/>
                    </w14:schemeClr>
                  </w14:solidFill>
                </w14:textFill>
              </w:rPr>
              <w:t>主要发展生物医药、中高端医疗器械、保健品和绿色有机食品产业。进一步完善产业链，提高园区南药种植、加工、制造等的专业化、特色化及精细化水平，推动园区产业高质量发展。加强园区培育“筑巢引凤”工作，吸引专业管理人才和运营机构为园区南药产业发展服务，支持企业“拎包入驻园区”。同时，做好园区“引凤筑巢”工作，吸引科研院所在园区开展南药化学成分及生物活性研究、专业检测验证、研发创新、医药外包、毒理性和药理学分析等公共服务体系建设，逐步形成南药一二三产业融合发展的大健康产业链条，吸引知名企业扎根园区，共同打造高质量的省级生物医药产业发展基地。</w:t>
            </w:r>
          </w:p>
          <w:p w14:paraId="5947C322">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3.南药产业发展试验区：</w:t>
            </w:r>
            <w:r>
              <w:rPr>
                <w:rFonts w:ascii="宋体" w:hAnsi="宋体" w:cs="仿宋_GB2312"/>
                <w:color w:val="0D0D0D" w:themeColor="text1" w:themeTint="F2"/>
                <w:sz w:val="24"/>
                <w14:textFill>
                  <w14:solidFill>
                    <w14:schemeClr w14:val="tx1">
                      <w14:lumMod w14:val="95000"/>
                      <w14:lumOff w14:val="5000"/>
                    </w14:schemeClr>
                  </w14:solidFill>
                </w14:textFill>
              </w:rPr>
              <w:t>引导鼓励建设规范化药材种植基地，加强对中药材产地种植和初加工的管理，规范产地初加工，建立完善中药材种植养殖、产地初加工和中药材专业市场各项管理制度，加强生物医药市场监管，营造促进行业健康发展的政策环境，推动</w:t>
            </w:r>
            <w:r>
              <w:rPr>
                <w:rFonts w:hint="eastAsia" w:ascii="宋体" w:hAnsi="宋体" w:cs="仿宋_GB2312"/>
                <w:color w:val="0D0D0D" w:themeColor="text1" w:themeTint="F2"/>
                <w:sz w:val="24"/>
                <w14:textFill>
                  <w14:solidFill>
                    <w14:schemeClr w14:val="tx1">
                      <w14:lumMod w14:val="95000"/>
                      <w14:lumOff w14:val="5000"/>
                    </w14:schemeClr>
                  </w14:solidFill>
                </w14:textFill>
              </w:rPr>
              <w:t>我区</w:t>
            </w:r>
            <w:r>
              <w:rPr>
                <w:rFonts w:ascii="宋体" w:hAnsi="宋体" w:cs="仿宋_GB2312"/>
                <w:color w:val="0D0D0D" w:themeColor="text1" w:themeTint="F2"/>
                <w:sz w:val="24"/>
                <w14:textFill>
                  <w14:solidFill>
                    <w14:schemeClr w14:val="tx1">
                      <w14:lumMod w14:val="95000"/>
                      <w14:lumOff w14:val="5000"/>
                    </w14:schemeClr>
                  </w14:solidFill>
                </w14:textFill>
              </w:rPr>
              <w:t>特色中药材的集约化、品牌化发展。</w:t>
            </w:r>
          </w:p>
        </w:tc>
      </w:tr>
    </w:tbl>
    <w:p w14:paraId="287D6D15">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85" w:name="_Toc20729"/>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第八章 持续深化重点领域改革，增强经济社会发展动力活力</w:t>
      </w:r>
      <w:bookmarkEnd w:id="85"/>
    </w:p>
    <w:p w14:paraId="157BD68A">
      <w:pPr>
        <w:pStyle w:val="17"/>
        <w:adjustRightInd w:val="0"/>
        <w:snapToGrid w:val="0"/>
        <w:spacing w:after="0" w:line="600" w:lineRule="exact"/>
        <w:ind w:left="0" w:leftChars="0"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着力抓好发展所需、基层所盼、民心所向等重点领域改革任务，努力实现更高质量、更有效率、更加公平、更可持续、更为安全的发展。</w:t>
      </w:r>
    </w:p>
    <w:p w14:paraId="3E6BC52A">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6" w:name="_Toc1854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进一步优化营商环境</w:t>
      </w:r>
      <w:bookmarkEnd w:id="86"/>
    </w:p>
    <w:p w14:paraId="24E94DCA">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提升涉企服务质量和效率。</w:t>
      </w:r>
      <w:r>
        <w:rPr>
          <w:rFonts w:hint="eastAsia" w:ascii="宋体" w:hAnsi="宋体"/>
          <w:color w:val="0D0D0D" w:themeColor="text1" w:themeTint="F2"/>
          <w:szCs w:val="32"/>
          <w14:textFill>
            <w14:solidFill>
              <w14:schemeClr w14:val="tx1">
                <w14:lumMod w14:val="95000"/>
                <w14:lumOff w14:val="5000"/>
              </w14:schemeClr>
            </w14:solidFill>
          </w14:textFill>
        </w:rPr>
        <w:t>全面深化“放管服”改革和数字政府建设，加快建设高标准市场体系，打造一流营商环境，持续提升投资建设便利度，简化企业生产经营审批和条件，加快构建充满活力的市场经济体制机制。全面推行企业开办全程网上办，提升企业名称自主申报系统核名智能化水平。放宽小微企业、个体工商户登记经营场所限制。加大“粤省事”“粤商通”“粤监管”“粤政易”推广应用。建设“云企贷”等融资平台，进一步解决民营企业和中小企业融资难、融资贵问题。</w:t>
      </w:r>
    </w:p>
    <w:p w14:paraId="79915C4E">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持续提升投资建设便利度。</w:t>
      </w:r>
      <w:r>
        <w:rPr>
          <w:rFonts w:hint="eastAsia" w:ascii="宋体" w:hAnsi="宋体"/>
          <w:color w:val="0D0D0D" w:themeColor="text1" w:themeTint="F2"/>
          <w:szCs w:val="32"/>
          <w14:textFill>
            <w14:solidFill>
              <w14:schemeClr w14:val="tx1">
                <w14:lumMod w14:val="95000"/>
                <w14:lumOff w14:val="5000"/>
              </w14:schemeClr>
            </w14:solidFill>
          </w14:textFill>
        </w:rPr>
        <w:t>着力落实投资项目在线审批监管平台审批流程，持续精简工程建设项目审批环节，细化项目分类，深入落实联合测绘、联合审图、联合验收等措施，实现一般社会投资工程建设项目，从申请项目备案到取得施工许可证不超过</w:t>
      </w:r>
      <w:r>
        <w:rPr>
          <w:rFonts w:ascii="宋体" w:hAnsi="宋体"/>
          <w:color w:val="0D0D0D" w:themeColor="text1" w:themeTint="F2"/>
          <w:szCs w:val="32"/>
          <w14:textFill>
            <w14:solidFill>
              <w14:schemeClr w14:val="tx1">
                <w14:lumMod w14:val="95000"/>
                <w14:lumOff w14:val="5000"/>
              </w14:schemeClr>
            </w14:solidFill>
          </w14:textFill>
        </w:rPr>
        <w:t>60</w:t>
      </w:r>
      <w:r>
        <w:rPr>
          <w:rFonts w:hint="eastAsia" w:ascii="宋体" w:hAnsi="宋体"/>
          <w:color w:val="0D0D0D" w:themeColor="text1" w:themeTint="F2"/>
          <w:szCs w:val="32"/>
          <w14:textFill>
            <w14:solidFill>
              <w14:schemeClr w14:val="tx1">
                <w14:lumMod w14:val="95000"/>
                <w14:lumOff w14:val="5000"/>
              </w14:schemeClr>
            </w14:solidFill>
          </w14:textFill>
        </w:rPr>
        <w:t>天。推行工程建设项目“一网通办”，落实联合审批系统管理办法，实现全流程在线审批，实现信息一次填报、材料一次上传和审批结果即时推送。完善中介超市建设，实现全区中介服务“采购申请网上发布、采购邀请网上推送、报名竞价网上操作、竞争结果网上确认、服务质量网上评议、运行效能网上监察”，形成健康有序的中介服务市场。</w:t>
      </w:r>
    </w:p>
    <w:p w14:paraId="0C52E808">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简化企业生产经营审批和条件。</w:t>
      </w:r>
      <w:r>
        <w:rPr>
          <w:rFonts w:hint="eastAsia" w:ascii="宋体" w:hAnsi="宋体"/>
          <w:color w:val="0D0D0D" w:themeColor="text1" w:themeTint="F2"/>
          <w:szCs w:val="32"/>
          <w14:textFill>
            <w14:solidFill>
              <w14:schemeClr w14:val="tx1">
                <w14:lumMod w14:val="95000"/>
                <w14:lumOff w14:val="5000"/>
              </w14:schemeClr>
            </w14:solidFill>
          </w14:textFill>
        </w:rPr>
        <w:t>取消诊所设置和执业登记，明确条件、材料和流程，直接进行备案管理，发放医疗机构执业备案证明，扩大医疗服务供给。优化机动车生产流通等环节管理措施，简化二手车经销企业购入机动车交易登记手续。加快推进“一照多址”改革，进一步降低小微企业生产经营成本，规范涉企保证金收费。严禁平台企业滥用市场支配地位收取不公平的高价服务费。在工程建设、政府采购等领域，推行以保险、保函等替代现金缴纳涉企保证金，减轻企业现金流压力。</w:t>
      </w:r>
    </w:p>
    <w:p w14:paraId="60257FD2">
      <w:pPr>
        <w:pStyle w:val="17"/>
        <w:adjustRightInd w:val="0"/>
        <w:snapToGrid w:val="0"/>
        <w:spacing w:after="0" w:line="600" w:lineRule="exact"/>
        <w:ind w:left="0" w:leftChars="0" w:firstLine="643"/>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87" w:name="_Hlk60048415"/>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深入推进“信用云城”建设。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不断完善长效治理机制，推动社会信用体系建设全面进入法治轨道。加强社会信用体系建设，全面构建以信用为基础的新型监管机制。建立健全信用承诺制，加快梳理可开展信用承诺的行政许可事项。鼓励市场主体主动向社会作出信用承诺。充分利用各级各类政务服务窗口，广泛开展市场主体守法诚信教育。鼓励各类市场主体在生产经营活动中更广泛、主动地应用信用报告。进一步在信用体系建设中加强党的领导，推动各方形成社会信用体系建设合力，营造诚实、自律、守信、互信的社会信用环境，推进治理体系和治理能力现代化。</w:t>
      </w:r>
    </w:p>
    <w:bookmarkEnd w:id="87"/>
    <w:p w14:paraId="23BA87F7">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8" w:name="_Toc1753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全面激发市场主体活力</w:t>
      </w:r>
      <w:bookmarkEnd w:id="88"/>
    </w:p>
    <w:p w14:paraId="4C59D0F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促进各类市场主体健康发展。</w:t>
      </w:r>
      <w:r>
        <w:rPr>
          <w:rFonts w:hint="eastAsia" w:ascii="宋体" w:hAnsi="宋体"/>
          <w:color w:val="0D0D0D" w:themeColor="text1" w:themeTint="F2"/>
          <w:szCs w:val="32"/>
          <w14:textFill>
            <w14:solidFill>
              <w14:schemeClr w14:val="tx1">
                <w14:lumMod w14:val="95000"/>
                <w14:lumOff w14:val="5000"/>
              </w14:schemeClr>
            </w14:solidFill>
          </w14:textFill>
        </w:rPr>
        <w:t>进一步完善区国有企业投资监管，规范投资程序和项目运营，防止盲目投资，促进国有资产保值增值。优化民营经济发展环境，依法平等保护民营企业产权和企业家权益，弘扬企业家精神。规范行业商协会建设，充分发挥桥梁和纽带作用。坚决执行广东“民营经济十条”和《云浮市关于促进民营经济高质量发展的若干政策措施》，以更大力度、更优政策、更好服务支持民营企业发展。扎实推进“个转企、小升规、规改股、股上市”工作，鼓励引导企业向新兴业态、细分行业发展，不断增强市场主体活力。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w:t>
      </w:r>
    </w:p>
    <w:p w14:paraId="4DFFAA5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完善要素市场化配置体制机制。</w:t>
      </w:r>
      <w:r>
        <w:rPr>
          <w:rFonts w:hint="eastAsia" w:ascii="宋体" w:hAnsi="宋体"/>
          <w:color w:val="0D0D0D" w:themeColor="text1" w:themeTint="F2"/>
          <w:szCs w:val="32"/>
          <w14:textFill>
            <w14:solidFill>
              <w14:schemeClr w14:val="tx1">
                <w14:lumMod w14:val="95000"/>
                <w14:lumOff w14:val="5000"/>
              </w14:schemeClr>
            </w14:solidFill>
          </w14:textFill>
        </w:rPr>
        <w:t>完善现代市场体系，建立宽进严管的市场准入和市场监管制度，加强事中事后监管。完善主要由市场决定价格的机制，大幅度缩减政府定价种类和项目，放开竞争性领域和竞争性环节的商品和服务价格，完善资源性产品价格及基本公共服务收费定价权。深化投融资体制创新，规范政府投资管理，加强项目规划调控。发展多样化融资工具，加强政府投资基金管理，设立创业投资基金、产业投资基金、股权投资基金及城市发展基金，支持重点领域建设项目开展股权和债券融资。</w:t>
      </w:r>
    </w:p>
    <w:p w14:paraId="799388B1">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89" w:name="_Toc2037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加快完善经济体制改革</w:t>
      </w:r>
      <w:bookmarkEnd w:id="89"/>
    </w:p>
    <w:p w14:paraId="18A3006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构建现代化市场体系。</w:t>
      </w:r>
      <w:r>
        <w:rPr>
          <w:rFonts w:hint="eastAsia" w:ascii="宋体" w:hAnsi="宋体"/>
          <w:color w:val="0D0D0D" w:themeColor="text1" w:themeTint="F2"/>
          <w:szCs w:val="32"/>
          <w14:textFill>
            <w14:solidFill>
              <w14:schemeClr w14:val="tx1">
                <w14:lumMod w14:val="95000"/>
                <w14:lumOff w14:val="5000"/>
              </w14:schemeClr>
            </w14:solidFill>
          </w14:textFill>
        </w:rPr>
        <w:t>强化改革牵引，消除各种形式的市场壁垒，保障公平公开、有序竞争的市场环境。强化创新驱动，加强互联网与市场体系的对接，加快发展电子商务，不断探索发展新模式、新业态，促进有形与隐形市场、线上与线下市场融合发展。强化制度支撑，放宽市场准入，进一步简政放权，推行负面清单市场准入制度改革，建立政府部门行政审批权力清单和责任清单。强化环境支撑，全面推进社会信用体系建设，营造诚信自律的社会信用环境。强化载体支撑，整体布局“一江四组团”建设，紧密结合城市规划、土地规划，在全区统一规划布局现代化市场体系。</w:t>
      </w:r>
    </w:p>
    <w:p w14:paraId="79764528">
      <w:pPr>
        <w:pStyle w:val="17"/>
        <w:adjustRightInd w:val="0"/>
        <w:snapToGrid w:val="0"/>
        <w:spacing w:after="0" w:line="600" w:lineRule="exact"/>
        <w:ind w:left="0" w:leftChars="0" w:firstLine="643"/>
        <w:rPr>
          <w:rFonts w:ascii="宋体" w:hAnsi="宋体"/>
          <w:b/>
          <w:bCs/>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夯实市场经济基础性制度。</w:t>
      </w:r>
      <w:r>
        <w:rPr>
          <w:rFonts w:hint="eastAsia" w:ascii="宋体" w:hAnsi="宋体"/>
          <w:color w:val="0D0D0D" w:themeColor="text1" w:themeTint="F2"/>
          <w:szCs w:val="32"/>
          <w14:textFill>
            <w14:solidFill>
              <w14:schemeClr w14:val="tx1">
                <w14:lumMod w14:val="95000"/>
                <w14:lumOff w14:val="5000"/>
              </w14:schemeClr>
            </w14:solidFill>
          </w14:textFill>
        </w:rPr>
        <w:t>全面实施市场准入负面清单制度。全面落实“全国一张清单”管理模式，建立清单实施动态监测机制，持续跟踪和研究解决清单实施过程中出现的新情况、新问题。评估摸排市场准入存在的各类不合理限制及隐性壁垒，畅通市场主体对隐形壁垒的意见反馈和处理回应机制。建立市场准入负面清单效能评估评价体系，促进提升准入政策透明度和负面清单使用便捷性。全面落实公平竞争审查制度，深入推进反垄断和反不正当竞争执法，维护市场公平竞争。</w:t>
      </w:r>
    </w:p>
    <w:p w14:paraId="607E038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深化财税金融领域改革。</w:t>
      </w:r>
      <w:r>
        <w:rPr>
          <w:rFonts w:hint="eastAsia" w:ascii="宋体" w:hAnsi="宋体"/>
          <w:color w:val="0D0D0D" w:themeColor="text1" w:themeTint="F2"/>
          <w:szCs w:val="32"/>
          <w14:textFill>
            <w14:solidFill>
              <w14:schemeClr w14:val="tx1">
                <w14:lumMod w14:val="95000"/>
                <w14:lumOff w14:val="5000"/>
              </w14:schemeClr>
            </w14:solidFill>
          </w14:textFill>
        </w:rPr>
        <w:t>认真落实各项减税降费政策，持续改进纳税服务。加强财政资源统筹，创新运用上级转移支付资金、特别国债、政府债券等，强化对民生保障项目、新基建项目等的金融保障。更加注重债券的使用绩效管理，提高债券融资项</w:t>
      </w:r>
      <w:r>
        <w:rPr>
          <w:rFonts w:hint="eastAsia" w:ascii="宋体" w:hAnsi="宋体"/>
          <w:color w:val="0D0D0D" w:themeColor="text1" w:themeTint="F2"/>
          <w:spacing w:val="7"/>
          <w:szCs w:val="32"/>
          <w:shd w:val="clear" w:color="auto" w:fill="FFFFFF"/>
          <w14:textFill>
            <w14:solidFill>
              <w14:schemeClr w14:val="tx1">
                <w14:lumMod w14:val="95000"/>
                <w14:lumOff w14:val="5000"/>
              </w14:schemeClr>
            </w14:solidFill>
          </w14:textFill>
        </w:rPr>
        <w:t>目的经济效益。加快现代金融体系建设，提升金融服务实体经济水平。不断完善融资体系建设，深化“政银企”三方合作，进一步扩大金融对经济发展的支撑效果。</w:t>
      </w:r>
    </w:p>
    <w:p w14:paraId="52AA7568">
      <w:pPr>
        <w:pStyle w:val="4"/>
        <w:adjustRightInd w:val="0"/>
        <w:snapToGrid w:val="0"/>
        <w:spacing w:before="120" w:after="120" w:line="60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90" w:name="_Toc31879"/>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第九章 加速融入“双区”建设，拓展区域合作新空间</w:t>
      </w:r>
      <w:bookmarkEnd w:id="90"/>
    </w:p>
    <w:p w14:paraId="251BDBC6">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向东向东再向东”发展路线，加快腰古、思劳融湾发展先行示范区建设，以点带面推动云城区全面融入粤港澳大湾区、深圳先行示范区、珠三角核心区建设，推动粤桂黔滇联动发展，加快区域一体化进程，拓展新业态，开拓新市场，促进更广范围的区域合作，提升我区高水平开放发展水平。</w:t>
      </w:r>
    </w:p>
    <w:p w14:paraId="34FA2401">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14:paraId="71AB4692">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1" w:name="_Toc2646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提升融湾经济合作水平</w:t>
      </w:r>
      <w:bookmarkEnd w:id="91"/>
    </w:p>
    <w:p w14:paraId="02AC8DB6">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szCs w:val="32"/>
        </w:rPr>
        <w:t>强化产业互补共进。</w:t>
      </w:r>
      <w:r>
        <w:rPr>
          <w:rFonts w:hint="eastAsia" w:ascii="宋体" w:hAnsi="宋体"/>
          <w:szCs w:val="32"/>
        </w:rPr>
        <w:t>以属智造科技产业园、健康医药产业园、安塘石材园区、现代农业产业园、花卉苗木产业园“五大园区”建</w:t>
      </w:r>
      <w:r>
        <w:rPr>
          <w:rFonts w:hint="eastAsia" w:ascii="宋体" w:hAnsi="宋体"/>
          <w:color w:val="0D0D0D" w:themeColor="text1" w:themeTint="F2"/>
          <w:szCs w:val="32"/>
          <w14:textFill>
            <w14:solidFill>
              <w14:schemeClr w14:val="tx1">
                <w14:lumMod w14:val="95000"/>
                <w14:lumOff w14:val="5000"/>
              </w14:schemeClr>
            </w14:solidFill>
          </w14:textFill>
        </w:rPr>
        <w:t>设为载体，大力发展金属智造、健康医药、现代农业、康养文旅游、绿色石材“六大产业”。始终紧扣“向东向东再向东”发展路径，加快推动腰古、思劳探索打造云浮东部融湾发展先行示范区。以腰古—思劳组团带动云城整体规划建设，进一步扩大区域容量。争取大湾区更多企业的“总部、研发、销售”功能落户云城，努力把我区打造为大湾区产业转移“承载地”、科技成果“转化地”。力争到2025年,实施“全域东融”战略、推进全域融湾高质量建设取得突破性进展，聚力“一核一带一区”协调发展、加快构建双循环新发展格局取得阶段性成果。</w:t>
      </w:r>
    </w:p>
    <w:p w14:paraId="0D9AFC90">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推动生态共济发展。</w:t>
      </w:r>
      <w:r>
        <w:rPr>
          <w:rFonts w:hint="eastAsia" w:ascii="宋体" w:hAnsi="宋体"/>
          <w:color w:val="0D0D0D" w:themeColor="text1" w:themeTint="F2"/>
          <w:szCs w:val="32"/>
          <w14:textFill>
            <w14:solidFill>
              <w14:schemeClr w14:val="tx1">
                <w14:lumMod w14:val="95000"/>
                <w14:lumOff w14:val="5000"/>
              </w14:schemeClr>
            </w14:solidFill>
          </w14:textFill>
        </w:rPr>
        <w:t>努力把生态优势转化成经济优势，加快形成绿色发展新动能，发展好云城“美丽经济”。充分把握省建设北部生态旅游区的机遇，走好农旅有机融合发展之路。实施绿色市政、绿色企业、绿色出行等绿色低碳示范工程，大力发展循环经济，构建绿色发展的空间格局、产业结构和生产生活方式。</w:t>
      </w:r>
    </w:p>
    <w:p w14:paraId="52C49045">
      <w:pPr>
        <w:pStyle w:val="50"/>
        <w:spacing w:line="600" w:lineRule="exact"/>
        <w:ind w:firstLine="643" w:firstLineChars="200"/>
        <w:rPr>
          <w:rFonts w:hint="default" w:ascii="宋体" w:hAnsi="宋体" w:eastAsia="仿宋_GB2312"/>
          <w:b/>
          <w:color w:val="0D0D0D" w:themeColor="text1" w:themeTint="F2"/>
          <w:sz w:val="32"/>
          <w:szCs w:val="32"/>
          <w:shd w:val="clear" w:color="auto" w:fill="FFFFFF"/>
          <w14:textFill>
            <w14:solidFill>
              <w14:schemeClr w14:val="tx1">
                <w14:lumMod w14:val="95000"/>
                <w14:lumOff w14:val="5000"/>
              </w14:schemeClr>
            </w14:solidFill>
          </w14:textFill>
        </w:rPr>
      </w:pPr>
      <w:r>
        <w:rPr>
          <w:rFonts w:ascii="宋体" w:hAnsi="宋体" w:eastAsia="仿宋_GB2312"/>
          <w:b/>
          <w:bCs/>
          <w:color w:val="0D0D0D" w:themeColor="text1" w:themeTint="F2"/>
          <w:sz w:val="32"/>
          <w:szCs w:val="32"/>
          <w14:textFill>
            <w14:solidFill>
              <w14:schemeClr w14:val="tx1">
                <w14:lumMod w14:val="95000"/>
                <w14:lumOff w14:val="5000"/>
              </w14:schemeClr>
            </w14:solidFill>
          </w14:textFill>
        </w:rPr>
        <w:t>创新体制机制对接。</w:t>
      </w:r>
      <w:r>
        <w:rPr>
          <w:rFonts w:ascii="宋体" w:hAnsi="宋体" w:eastAsia="仿宋_GB2312"/>
          <w:color w:val="0D0D0D" w:themeColor="text1" w:themeTint="F2"/>
          <w:sz w:val="32"/>
          <w:szCs w:val="32"/>
          <w14:textFill>
            <w14:solidFill>
              <w14:schemeClr w14:val="tx1">
                <w14:lumMod w14:val="95000"/>
                <w14:lumOff w14:val="5000"/>
              </w14:schemeClr>
            </w14:solidFill>
          </w14:textFill>
        </w:rPr>
        <w:t>精准对接湾区的“大平台”“大网络”“大市场”，坚定用好改革开放“关键一招”，努力打造优质的营商环境。对接粤港澳大湾区制度规则和市场规划体系，全面清理不合时宜的政策措施，破除制约创新要素流动的体制机制障碍，推动生产要素流动便利化。</w:t>
      </w:r>
    </w:p>
    <w:p w14:paraId="797D11D9">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2" w:name="_Toc3203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主动对接广州都市圈</w:t>
      </w:r>
      <w:bookmarkEnd w:id="92"/>
    </w:p>
    <w:p w14:paraId="48C897B3">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促进资源要素自由流通。</w:t>
      </w:r>
      <w:r>
        <w:rPr>
          <w:rFonts w:hint="eastAsia" w:ascii="宋体" w:hAnsi="宋体"/>
          <w:color w:val="0D0D0D" w:themeColor="text1" w:themeTint="F2"/>
          <w:szCs w:val="32"/>
          <w14:textFill>
            <w14:solidFill>
              <w14:schemeClr w14:val="tx1">
                <w14:lumMod w14:val="95000"/>
                <w14:lumOff w14:val="5000"/>
              </w14:schemeClr>
            </w14:solidFill>
          </w14:textFill>
        </w:rPr>
        <w:t>以“广佛肇云”一体化发展为契机，探索谋划“高铁进城”，通过高铁拉近与广、佛等中心城市的资源要素流动。积极接入珠三角城际轨道交通网，加快推进广佛城际延伸至云浮，争取在云城设站，构建无缝衔接的综合交通枢纽。</w:t>
      </w:r>
      <w:r>
        <w:rPr>
          <w:rFonts w:hint="eastAsia" w:ascii="宋体" w:hAnsi="宋体"/>
          <w:szCs w:val="32"/>
        </w:rPr>
        <w:t>积极建设成为广州都市圈“内融外联”战略支点。</w:t>
      </w:r>
    </w:p>
    <w:p w14:paraId="3E6F7AD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积极构建产业分工的雁阵布局体系。</w:t>
      </w:r>
      <w:r>
        <w:rPr>
          <w:rFonts w:hint="eastAsia" w:ascii="宋体" w:hAnsi="宋体"/>
          <w:color w:val="0D0D0D" w:themeColor="text1" w:themeTint="F2"/>
          <w:szCs w:val="32"/>
          <w14:textFill>
            <w14:solidFill>
              <w14:schemeClr w14:val="tx1">
                <w14:lumMod w14:val="95000"/>
                <w14:lumOff w14:val="5000"/>
              </w14:schemeClr>
            </w14:solidFill>
          </w14:textFill>
        </w:rPr>
        <w:t>逐步疏解都市圈城市非核心功能，加强石材产业、特色农业、生态旅游等方面错位发展。推动都市圈核心城市的产业园区、专业市场、物流园区以及生物制药、智能制造、新材料、新能源等重大项目、科创资源布局云城，着力打造云城成为高端产业协同发展地、科创资源重点辐射地、一体化交通体系枢纽地、公共服务融合地，为云浮全面接轨广州提供示范。</w:t>
      </w:r>
    </w:p>
    <w:p w14:paraId="29C34732">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3" w:name="_Toc3034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广泛参与泛珠三角区域合作</w:t>
      </w:r>
      <w:bookmarkEnd w:id="93"/>
    </w:p>
    <w:p w14:paraId="503F1D87">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主动参与粤桂黔滇高铁经济带合作发展。</w:t>
      </w:r>
      <w:r>
        <w:rPr>
          <w:rFonts w:hint="eastAsia" w:ascii="宋体" w:hAnsi="宋体"/>
          <w:color w:val="0D0D0D" w:themeColor="text1" w:themeTint="F2"/>
          <w:szCs w:val="32"/>
          <w14:textFill>
            <w14:solidFill>
              <w14:schemeClr w14:val="tx1">
                <w14:lumMod w14:val="95000"/>
                <w14:lumOff w14:val="5000"/>
              </w14:schemeClr>
            </w14:solidFill>
          </w14:textFill>
        </w:rPr>
        <w:t>充分发挥高铁经济的同城效应，共同推进全域旅游合作发展；充分发挥高铁经济的集聚效应，共同推进园区平台联动发展；充分发挥高铁经济的辐射效应，共同推进产业深度融合发展，重点在产业梯度转移、区域创新体系共建、园区合作开发、合作机制创新等方面开展先行先试，为云浮参与贵广、南广高铁经济带建设提供新思路和新路径。</w:t>
      </w:r>
    </w:p>
    <w:p w14:paraId="3D959B15">
      <w:pPr>
        <w:pStyle w:val="17"/>
        <w:adjustRightInd w:val="0"/>
        <w:snapToGrid w:val="0"/>
        <w:spacing w:after="0" w:line="600" w:lineRule="exact"/>
        <w:ind w:left="0" w:leftChars="0"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b/>
          <w:bCs/>
          <w:color w:val="0D0D0D" w:themeColor="text1" w:themeTint="F2"/>
          <w:szCs w:val="32"/>
          <w14:textFill>
            <w14:solidFill>
              <w14:schemeClr w14:val="tx1">
                <w14:lumMod w14:val="95000"/>
                <w14:lumOff w14:val="5000"/>
              </w14:schemeClr>
            </w14:solidFill>
          </w14:textFill>
        </w:rPr>
        <w:t>积极配合珠江</w:t>
      </w:r>
      <w:r>
        <w:rPr>
          <w:rFonts w:ascii="宋体" w:hAnsi="宋体"/>
          <w:b/>
          <w:bCs/>
          <w:color w:val="0D0D0D" w:themeColor="text1" w:themeTint="F2"/>
          <w:szCs w:val="32"/>
          <w14:textFill>
            <w14:solidFill>
              <w14:schemeClr w14:val="tx1">
                <w14:lumMod w14:val="95000"/>
                <w14:lumOff w14:val="5000"/>
              </w14:schemeClr>
            </w14:solidFill>
          </w14:textFill>
        </w:rPr>
        <w:t>-</w:t>
      </w:r>
      <w:r>
        <w:rPr>
          <w:rFonts w:hint="eastAsia" w:ascii="宋体" w:hAnsi="宋体"/>
          <w:b/>
          <w:bCs/>
          <w:color w:val="0D0D0D" w:themeColor="text1" w:themeTint="F2"/>
          <w:szCs w:val="32"/>
          <w14:textFill>
            <w14:solidFill>
              <w14:schemeClr w14:val="tx1">
                <w14:lumMod w14:val="95000"/>
                <w14:lumOff w14:val="5000"/>
              </w14:schemeClr>
            </w14:solidFill>
          </w14:textFill>
        </w:rPr>
        <w:t>西江经济带建设。</w:t>
      </w:r>
      <w:r>
        <w:rPr>
          <w:rFonts w:hint="eastAsia" w:ascii="宋体" w:hAnsi="宋体"/>
          <w:color w:val="0D0D0D" w:themeColor="text1" w:themeTint="F2"/>
          <w:szCs w:val="32"/>
          <w14:textFill>
            <w14:solidFill>
              <w14:schemeClr w14:val="tx1">
                <w14:lumMod w14:val="95000"/>
                <w14:lumOff w14:val="5000"/>
              </w14:schemeClr>
            </w14:solidFill>
          </w14:textFill>
        </w:rPr>
        <w:t>面向大湾区，沟通大东盟，扩大区域合作“朋友圈”，加强西江流域金属制造、石材加工、市场渠道等方面战略合作，寻求更加广阔的资源要素与商品市场。开辟互联互通新通道，充分发挥南广等高铁优势，加密高速公路。建立参与泛珠三角区域合作的长效机制，构建更加广泛的区域合作共同体，将云城区打造成为云浮连接大西南地区进入珠三角和港澳的前哨站。</w:t>
      </w:r>
    </w:p>
    <w:p w14:paraId="54440297">
      <w:pPr>
        <w:pStyle w:val="4"/>
        <w:adjustRightInd w:val="0"/>
        <w:snapToGrid w:val="0"/>
        <w:spacing w:before="120" w:after="120" w:line="600" w:lineRule="exact"/>
        <w:jc w:val="distribute"/>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94" w:name="_Toc24874"/>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第十章 繁荣发展文化事业和文化产业，着力推动文化强区建设</w:t>
      </w:r>
      <w:bookmarkEnd w:id="94"/>
    </w:p>
    <w:p w14:paraId="2DD3DDCA">
      <w:pPr>
        <w:pStyle w:val="17"/>
        <w:adjustRightInd w:val="0"/>
        <w:snapToGrid w:val="0"/>
        <w:spacing w:after="0" w:line="600" w:lineRule="exact"/>
        <w:ind w:left="0" w:leftChars="0"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坚持以社会主义核心价值观引领文化建设，全面落实举旗帜、聚民心、育新人、兴文化、展形象使命任务，创新性发展文化事业，完善现代文化产业体系和服务体系，提升全社会文明程度，推进文化强区建设。</w:t>
      </w:r>
    </w:p>
    <w:p w14:paraId="79E406DE">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5" w:name="_Toc1844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提高社会文明程度</w:t>
      </w:r>
      <w:bookmarkEnd w:id="95"/>
    </w:p>
    <w:p w14:paraId="2A37FA12">
      <w:pPr>
        <w:adjustRightInd w:val="0"/>
        <w:snapToGrid w:val="0"/>
        <w:spacing w:line="600" w:lineRule="exact"/>
        <w:ind w:firstLine="641"/>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践行社会主义核心价值观。</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深入开展学习贯彻习近平新时代中国特色社会主义思想主题教育</w:t>
      </w:r>
      <w:bookmarkStart w:id="142" w:name="_GoBack"/>
      <w:bookmarkEnd w:id="142"/>
      <w:r>
        <w:rPr>
          <w:rFonts w:hint="eastAsia" w:ascii="宋体" w:hAnsi="宋体" w:cs="宋体"/>
          <w:color w:val="0D0D0D" w:themeColor="text1" w:themeTint="F2"/>
          <w:kern w:val="0"/>
          <w:szCs w:val="32"/>
          <w14:textFill>
            <w14:solidFill>
              <w14:schemeClr w14:val="tx1">
                <w14:lumMod w14:val="95000"/>
                <w14:lumOff w14:val="5000"/>
              </w14:schemeClr>
            </w14:solidFill>
          </w14:textFill>
        </w:rPr>
        <w:t>。推动理想信念教育常态化制度化，加强党史、新中国史、改革开放史、社会主义发展史教育，加强爱国主义、集体主义、社会主义教育和中华民族共同体意识教育。大力弘扬劳模精神、抗疫精神和工匠精神，深化对云城精神的研究阐释和实践传承。运用红色资源，深化革命传统教育，传承红色基因。加强社会公德、职业道德、家庭美德、个人品德建设，深化群众性精神文明创建活动，拓展新时代文明实践中心建设。弘扬诚信文化，营造诚实守信的良好社会环境。制定完善市民精神、村规民约、家规校训等公共文明行为规范。健全志愿服务体系建设，推动志愿服务常态化。</w:t>
      </w:r>
    </w:p>
    <w:p w14:paraId="77EF823B">
      <w:pPr>
        <w:adjustRightInd w:val="0"/>
        <w:snapToGrid w:val="0"/>
        <w:spacing w:line="600" w:lineRule="exact"/>
        <w:ind w:firstLine="641"/>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全面提升城市文明内涵。</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思想道德建设，持续深入学习贯彻习近平新时代中国特色社会主义思想和习近平总书记系列重要讲话精神，以贯彻落实《新时代公民道德建设实施纲要》和《新时代爱国主义教育实施纲要》为契机，加强理想信念教育，推动公民道德建设工程走向深入。集中开展思想道德主题宣传教育活动，引导未成年人弘扬民族精神，增进爱国情感，提高道德素养。进一步深入推进精神文明创建，按照市委、区委的总体部署要求，不断提升广大市民文明素质，开展文明城市创建。强化精神文明阵地建设，深化新时代文明实践全国试点工作，完善我区新时代文明实践中心（所、站）基础设施，实现全区各个行政村新时代文明实践站全覆盖。</w:t>
      </w:r>
    </w:p>
    <w:p w14:paraId="0BA2D78A">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6" w:name="_Toc2396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健全完善公共文化服务体系</w:t>
      </w:r>
      <w:bookmarkEnd w:id="96"/>
    </w:p>
    <w:p w14:paraId="2455E077">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仿宋"/>
          <w:b/>
          <w:bCs/>
          <w:color w:val="0D0D0D" w:themeColor="text1" w:themeTint="F2"/>
          <w:szCs w:val="32"/>
          <w:shd w:val="clear" w:color="auto" w:fill="FFFFFF"/>
          <w14:textFill>
            <w14:solidFill>
              <w14:schemeClr w14:val="tx1">
                <w14:lumMod w14:val="95000"/>
                <w14:lumOff w14:val="5000"/>
              </w14:schemeClr>
            </w14:solidFill>
          </w14:textFill>
        </w:rPr>
        <w:t>加强文化保护与传承。</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系统挖掘整理“云石文化”“岭南文化”“民俗文化”“红色文化”，强化重要文化和自然遗产、非物质文化遗产系统性保护，统筹推进邓发故居、梁桂华故居、陈剑夫故居、中共云浮县委旧址、粤中纵队第四支队旧址等红色文化基因的发掘，打造一批红色文化国防教育基地、爱国主义示范基地。加强文化遗产传承和保护，全力支持“云石矿场遗址”“水东古建筑群”申创为全国重点文物保护单位、“云浮石艺”申报为国家级非物质文化遗产项目。广泛开展群众性文化活动，深入开展全民阅读活动，着力建设书香云城。</w:t>
      </w:r>
    </w:p>
    <w:p w14:paraId="25DCDFD1">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推进文化设施建设。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加快建设</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蟠龙天湖景区、</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云城区文化馆、图书馆、博物馆并实现开放运营。新建文化交流培训中心，积极推动社会力量参加文化建设与文化惠民服务。</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支持青少年科技教育基地、校园科学馆（室）、科普基地等开展具有广泛影响力的科普活动，推动科普教育基地与博物馆、图书馆、青少年宫等公共文化基础设施联动，全面提高科普教育基地的服务意识和服务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加快农村文化服务设施建设，加大村级公共文化设施建设力度，加快镇级综合文化站提档升级。加强文艺队伍建设，配齐</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文化场馆和乡镇综合文化站、村级综合性文化服务中心专业人员及志愿者，提升公共文化覆盖力度。建设好区级融媒体中心，发挥新媒体平台在舆论引导、思想引领、文化传承、服务人民中的作用，讲好云城故事，传播云城声音。</w:t>
      </w:r>
    </w:p>
    <w:p w14:paraId="00815880">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7" w:name="_Toc1714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大力发展文化产业</w:t>
      </w:r>
      <w:bookmarkEnd w:id="97"/>
    </w:p>
    <w:p w14:paraId="7BCC3994">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仿宋"/>
          <w:b/>
          <w:bCs/>
          <w:color w:val="0D0D0D" w:themeColor="text1" w:themeTint="F2"/>
          <w:szCs w:val="32"/>
          <w:shd w:val="clear" w:color="auto" w:fill="FFFFFF"/>
          <w14:textFill>
            <w14:solidFill>
              <w14:schemeClr w14:val="tx1">
                <w14:lumMod w14:val="95000"/>
                <w14:lumOff w14:val="5000"/>
              </w14:schemeClr>
            </w14:solidFill>
          </w14:textFill>
        </w:rPr>
        <w:t>大力发展文化创意产业。</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依托石文化创意长廊特色风貌带，塑造“石艺之都”品牌形象，讲好“石材故事”，谋划建设石博园，重点发展石文化主题观光、科普教育、休闲购物、商务会展、文创市集、奇石文玩、石材批发、石材精加工及批发。加快建设城区“石工艺品一条街”，开发非遗项目等文化艺术产品及衍生艺术品，不断延伸文化产业链条，加快文化产业转型升级，把文化产业培育成为支柱性产业。</w:t>
      </w:r>
    </w:p>
    <w:p w14:paraId="4D9489EB">
      <w:pPr>
        <w:adjustRightInd w:val="0"/>
        <w:snapToGrid w:val="0"/>
        <w:spacing w:line="600" w:lineRule="exact"/>
        <w:ind w:firstLine="641"/>
        <w:rPr>
          <w:rFonts w:ascii="宋体" w:hAnsi="宋体" w:cs="仿宋"/>
          <w:color w:val="0D0D0D" w:themeColor="text1" w:themeTint="F2"/>
          <w:szCs w:val="32"/>
          <w:shd w:val="clear" w:color="auto" w:fill="FFFFFF"/>
          <w14:textFill>
            <w14:solidFill>
              <w14:schemeClr w14:val="tx1">
                <w14:lumMod w14:val="95000"/>
                <w14:lumOff w14:val="5000"/>
              </w14:schemeClr>
            </w14:solidFill>
          </w14:textFill>
        </w:rPr>
      </w:pPr>
      <w:r>
        <w:rPr>
          <w:rFonts w:hint="eastAsia" w:ascii="宋体" w:hAnsi="宋体" w:cs="仿宋"/>
          <w:b/>
          <w:bCs/>
          <w:color w:val="0D0D0D" w:themeColor="text1" w:themeTint="F2"/>
          <w:szCs w:val="32"/>
          <w:shd w:val="clear" w:color="auto" w:fill="FFFFFF"/>
          <w14:textFill>
            <w14:solidFill>
              <w14:schemeClr w14:val="tx1">
                <w14:lumMod w14:val="95000"/>
                <w14:lumOff w14:val="5000"/>
              </w14:schemeClr>
            </w14:solidFill>
          </w14:textFill>
        </w:rPr>
        <w:t>促进文化旅游融合发展。</w:t>
      </w:r>
      <w:r>
        <w:rPr>
          <w:rFonts w:hint="eastAsia" w:ascii="宋体" w:hAnsi="宋体" w:cs="仿宋"/>
          <w:color w:val="0D0D0D" w:themeColor="text1" w:themeTint="F2"/>
          <w:szCs w:val="32"/>
          <w:shd w:val="clear" w:color="auto" w:fill="FFFFFF"/>
          <w14:textFill>
            <w14:solidFill>
              <w14:schemeClr w14:val="tx1">
                <w14:lumMod w14:val="95000"/>
                <w14:lumOff w14:val="5000"/>
              </w14:schemeClr>
            </w14:solidFill>
          </w14:textFill>
        </w:rPr>
        <w:t>坚持以文化塑造旅游、以旅游彰显文化，统筹推进文旅资源开发和优化配置。</w:t>
      </w:r>
      <w:r>
        <w:rPr>
          <w:rFonts w:hint="eastAsia" w:ascii="仿宋_GB2312"/>
          <w:szCs w:val="32"/>
          <w:shd w:val="clear" w:color="auto" w:fill="FFFFFF"/>
        </w:rPr>
        <w:t>依托石文化创意长廊特色风貌带，塑造“石艺之都”品牌形象，讲好“石材故事”，谋划建设石博园。</w:t>
      </w:r>
      <w:r>
        <w:rPr>
          <w:rFonts w:hint="eastAsia" w:ascii="仿宋_GB2312"/>
          <w:szCs w:val="32"/>
        </w:rPr>
        <w:t>坚持以文化塑造旅游、以旅游彰显文化，统筹推进文旅资源开发和优化配置。实施“文化+”“旅游+”战略，找准产业结合点，推动文化、旅游产业融合发展，打造文化和旅游特色兼备的新业态。充分利用水东明清古建筑群、南盛朝阳渠、云石遗址公园等历史文化资源，推进红色旅游、文化遗产旅游、主题公园等已有融合发展业态提质升级，支持开发集文化创意、休闲度假等于一体的文化旅游综合体。</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5B8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16F34864">
            <w:pPr>
              <w:jc w:val="center"/>
              <w:rPr>
                <w:rFonts w:ascii="黑体" w:hAnsi="黑体" w:eastAsia="黑体"/>
                <w:sz w:val="24"/>
              </w:rPr>
            </w:pPr>
            <w:r>
              <w:rPr>
                <w:rFonts w:hint="eastAsia" w:ascii="黑体" w:hAnsi="黑体" w:eastAsia="黑体"/>
                <w:sz w:val="24"/>
              </w:rPr>
              <w:t>专栏9“十四五”时期我区文化事业和产业发展重点项目</w:t>
            </w:r>
          </w:p>
        </w:tc>
      </w:tr>
      <w:tr w14:paraId="225F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7" w:hRule="atLeast"/>
        </w:trPr>
        <w:tc>
          <w:tcPr>
            <w:tcW w:w="8930" w:type="dxa"/>
            <w:vAlign w:val="center"/>
          </w:tcPr>
          <w:p w14:paraId="705F82B9">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1.蟠龙天湖景区：</w:t>
            </w:r>
            <w:r>
              <w:rPr>
                <w:rFonts w:hint="eastAsia" w:ascii="宋体" w:hAnsi="宋体" w:cs="仿宋_GB2312"/>
                <w:color w:val="0D0D0D" w:themeColor="text1" w:themeTint="F2"/>
                <w:sz w:val="24"/>
                <w14:textFill>
                  <w14:solidFill>
                    <w14:schemeClr w14:val="tx1">
                      <w14:lumMod w14:val="95000"/>
                      <w14:lumOff w14:val="5000"/>
                    </w14:schemeClr>
                  </w14:solidFill>
                </w14:textFill>
              </w:rPr>
              <w:t>产业组团建设彩玉文化中心、石艺深加工基地、会展中心、电商中心等；艺术组团建设文化艺术街区、云石遗址博物馆；教育组团：建设彩玉主题公园、鲁迅美术学院研究生分院、艺术人才孵化基地等，旅游组团天坑酒店、天湖公园、山林景观带、蟠龙洞景区、天湖广场、沿湖亲水景观、沿湖商业等。</w:t>
            </w:r>
          </w:p>
          <w:p w14:paraId="0D3C3F57">
            <w:pPr>
              <w:adjustRightInd w:val="0"/>
              <w:snapToGrid w:val="0"/>
              <w:spacing w:line="360" w:lineRule="auto"/>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2.云城区图书馆：</w:t>
            </w:r>
            <w:r>
              <w:rPr>
                <w:rFonts w:hint="eastAsia" w:ascii="宋体" w:hAnsi="宋体" w:cs="仿宋_GB2312"/>
                <w:color w:val="0D0D0D" w:themeColor="text1" w:themeTint="F2"/>
                <w:sz w:val="24"/>
                <w14:textFill>
                  <w14:solidFill>
                    <w14:schemeClr w14:val="tx1">
                      <w14:lumMod w14:val="95000"/>
                      <w14:lumOff w14:val="5000"/>
                    </w14:schemeClr>
                  </w14:solidFill>
                </w14:textFill>
              </w:rPr>
              <w:t>该项目占地面积8038.86平方米，总建筑面积为13700平方米，包含藏书区2560平方米、借阅区2160平方米、咨询服务区240平方米、行政办公区400平方米、公众活动与辅助服务区1120平方米、业务区720平方米、技术设备区320平方米、后勤保障区480平方米、地下车库5700平方米等。</w:t>
            </w:r>
          </w:p>
          <w:p w14:paraId="759C8E09">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云浮市石文化创意产业园：</w:t>
            </w:r>
            <w:r>
              <w:rPr>
                <w:rFonts w:hint="eastAsia" w:ascii="宋体" w:hAnsi="宋体" w:cs="仿宋_GB2312"/>
                <w:color w:val="0D0D0D" w:themeColor="text1" w:themeTint="F2"/>
                <w:sz w:val="24"/>
                <w14:textFill>
                  <w14:solidFill>
                    <w14:schemeClr w14:val="tx1">
                      <w14:lumMod w14:val="95000"/>
                      <w14:lumOff w14:val="5000"/>
                    </w14:schemeClr>
                  </w14:solidFill>
                </w14:textFill>
              </w:rPr>
              <w:t>建设云石大道、河口大道、河杨路、西三路环境综合整治工程，对道路，桥梁，给排水，路灯，景观的改造提升，全长约10公里；二是建设石材会展中心、门户石文化广场、游客接待中心、石文化影视中心、商业服务中心及配套附属设施。</w:t>
            </w:r>
          </w:p>
        </w:tc>
      </w:tr>
    </w:tbl>
    <w:p w14:paraId="5FD5D0CE">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98" w:name="_Toc21182"/>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第十一章 筑牢绿色生态屏障，建设美丽生态云城</w:t>
      </w:r>
      <w:bookmarkEnd w:id="98"/>
    </w:p>
    <w:p w14:paraId="1DAAC305">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绿水青山就是金山银山理念，坚决扛起筑牢北部生态屏障的政治担当，把生态优先贯穿经济社会发展各方面和全过程，努力改善生态环境，强化资源节约利用，不断把生态优势转变成发展优势，打造湾区生态“涵养地”。</w:t>
      </w:r>
    </w:p>
    <w:p w14:paraId="04B64423">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99" w:name="_Toc3572"/>
      <w:bookmarkStart w:id="100" w:name="_Hlk553194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厚培生态“绿境”</w:t>
      </w:r>
      <w:bookmarkEnd w:id="99"/>
    </w:p>
    <w:p w14:paraId="00119ACE">
      <w:pPr>
        <w:adjustRightInd w:val="0"/>
        <w:snapToGrid w:val="0"/>
        <w:spacing w:line="600" w:lineRule="exact"/>
        <w:ind w:firstLine="640"/>
        <w:rPr>
          <w:rFonts w:ascii="宋体" w:hAnsi="宋体" w:cs="宋体"/>
          <w:kern w:val="0"/>
          <w:szCs w:val="32"/>
        </w:rPr>
      </w:pPr>
      <w:r>
        <w:rPr>
          <w:rFonts w:hint="eastAsia" w:ascii="宋体" w:hAnsi="宋体" w:cs="宋体"/>
          <w:b/>
          <w:bCs/>
          <w:kern w:val="0"/>
          <w:szCs w:val="32"/>
        </w:rPr>
        <w:t>全面筑牢生态屏障。</w:t>
      </w:r>
      <w:r>
        <w:rPr>
          <w:rFonts w:hint="eastAsia" w:ascii="宋体" w:hAnsi="宋体" w:cs="宋体"/>
          <w:kern w:val="0"/>
          <w:szCs w:val="32"/>
        </w:rPr>
        <w:t>优化生态空间布局，突出城乡建设与产业发展并举，加快建立以产业生态化和生态产业化为主体的生态经济体系。构建绿色生态屏障，实施重大生态修复生物多样性保护等重大工程项目。探索生态产品价值实现路径，突出生态资源转化成生态资产和生态资本，探索建立自然资源资产产权确认、生态产品认证，各类生态资源产权和产品市场交易制度。</w:t>
      </w:r>
    </w:p>
    <w:p w14:paraId="7F34F35C">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加快打造“水美云城”。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持续巩固国家卫生城市、国家园林城市创建成果，全域创建国家森林城市，加快推进一批森林公园、湿地公园和自然保护区建设。全面落实“河长制”“湖长制”，持续推进河湖“清四乱”和“五清”工作。重点推进南山河各项整治目标任务和措施，持续提升新兴江、南山河、小河流域水质。实施暗涵暗渠整治，取消暗涵内总口截污，实现清水入河，污水入厂。全面巩固畜禽养殖禁养区清理成果，督促规模化畜禽养殖场（区）落实各项污染治理设施。统筹推进“碧道+绿道+古驿道”建设，重点建设南山河、新兴江云城段、蟠龙天湖、珠洞水、安塘河等碧道，以碧道带动绿道、古驿道建设，串联周边旅游资源，培育发展碧道经济。挖掘水文化，整理西江流域涉水遗迹遗址、民风民俗等，谋划打造一批特色水利风景区、亲水岸线等水文化样板工程，</w:t>
      </w:r>
      <w:r>
        <w:rPr>
          <w:rFonts w:hint="eastAsia" w:ascii="仿宋_GB2312"/>
          <w:szCs w:val="32"/>
        </w:rPr>
        <w:t>打造“山水相映，城水相拥，人水相怡”的“水美云城”。</w:t>
      </w:r>
    </w:p>
    <w:p w14:paraId="6B1144E2">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提升高品质清新空气供给。</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强化城市扬尘治理，加强控制施工地扬尘，加大对施工地扬尘控制措施监管密度。将总悬浮颗粒物监测设备接入自动监测平台。持续开展裸土地复绿工作，通过复绿、硬底化等手段减少裸土地面积，降低裸土地扬尘对大气质量的影响。严控烟花爆竹燃放、秸秆焚烧等污染排放，将禁止露天焚烧任务纳入各街道管理体系，采取分片包干措施，实施网格化巡查和执法。</w:t>
      </w:r>
    </w:p>
    <w:p w14:paraId="07480EF2">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建设绿树成荫“林城”。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城市森林培育，推进城区见缝插绿、拆违建绿、拆墙透绿，发展以林木为主、便民实用的街心公园、小游园、小绿地，增加市民休闲活动空间。采取屋顶、墙体、桥体等立体绿化方式，拓展城市绿化空间。加强城区林木养护，注重保护大树古树。大力推进城周绿化，加强自然山体、水体的生态保护和修复，加快推进南山森林公园、迳尾湖湿地公园、云龙湖市级湿地公园、崖楼山市级自然保护区建设，积极创建一批森林村庄。大力实施农田防护林改扩建、生态廊道绿化、矿山生态治理、森林抚育和改造等一系列林业重点工程。</w:t>
      </w:r>
    </w:p>
    <w:p w14:paraId="48FF9169">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营造洁净安全土地环境。</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土壤污染源管控，严格控制废弃物焚烧、金属冶炼和医药等行业项目准入标准，防止新建项目对土壤环境造成污染。以点带面推进垃圾分类，重拳打击涉固体废物违法行为。开展土壤污染治理与修复，按照市级相关部署要求，根据土壤污染物类型、污染程度等因素，选择具有代表性的受污染耕地，有计划、分步骤地开展土壤污染治理与修复试点示范，加强修复前、中、后期的环境监测工作，为建立辖区土壤污染治理与修复技术体系积累经验。</w:t>
      </w:r>
    </w:p>
    <w:p w14:paraId="6188E186">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01" w:name="_Toc2412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强化环保基础设施建设</w:t>
      </w:r>
      <w:bookmarkEnd w:id="100"/>
      <w:bookmarkEnd w:id="101"/>
    </w:p>
    <w:p w14:paraId="22E80D9A">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02" w:name="_Hlk5531948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加强污水处理设施建设。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中心城区及城乡结合部居民生活污水排放渠管的升级改造，切实解决污水排放问题。积极推动云城区河口街市政排水等基础设施建设工程、云城区河口污水处理厂扩容提质及管网完善改造工程。推进安塘、前锋、南盛</w:t>
      </w:r>
      <w:r>
        <w:rPr>
          <w:rFonts w:ascii="宋体" w:hAnsi="宋体" w:cs="宋体"/>
          <w:color w:val="0D0D0D" w:themeColor="text1" w:themeTint="F2"/>
          <w:kern w:val="0"/>
          <w:szCs w:val="32"/>
          <w14:textFill>
            <w14:solidFill>
              <w14:schemeClr w14:val="tx1">
                <w14:lumMod w14:val="95000"/>
                <w14:lumOff w14:val="5000"/>
              </w14:schemeClr>
            </w14:solidFill>
          </w14:textFill>
        </w:rPr>
        <w:t>3</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座污水处理厂投入运营。</w:t>
      </w:r>
      <w:bookmarkEnd w:id="102"/>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推进市健康医药产业园污水处理厂建设。加强公示制度和建设过程沟通机制，推动完善农村生活污水处理点、农村生活污水收集管网和城镇污水管网建设，推进农村一体化设备安装。优化升级城镇公共厕所，对老旧公共厕所分批进行拆除重建或改建。</w:t>
      </w:r>
      <w:bookmarkStart w:id="103" w:name="_Hlk55319503"/>
    </w:p>
    <w:p w14:paraId="6F92947D">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加快垃圾处理设施建设。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巩固城区生活垃圾无害化处理设施建设成果，落实城中村日常环卫保洁制度</w:t>
      </w:r>
      <w:bookmarkEnd w:id="103"/>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。加快推进云城区中心城区大型生活垃圾中转站及附属设施建设项目</w:t>
      </w:r>
      <w:bookmarkStart w:id="104" w:name="_Hlk55319519"/>
      <w:r>
        <w:rPr>
          <w:rFonts w:hint="eastAsia" w:ascii="宋体" w:hAnsi="宋体" w:cs="宋体"/>
          <w:color w:val="0D0D0D" w:themeColor="text1" w:themeTint="F2"/>
          <w:kern w:val="0"/>
          <w:szCs w:val="32"/>
          <w14:textFill>
            <w14:solidFill>
              <w14:schemeClr w14:val="tx1">
                <w14:lumMod w14:val="95000"/>
                <w14:lumOff w14:val="5000"/>
              </w14:schemeClr>
            </w14:solidFill>
          </w14:textFill>
        </w:rPr>
        <w:t>。持续推进城市生活垃圾分类管理工作，</w:t>
      </w:r>
      <w:bookmarkEnd w:id="104"/>
      <w:r>
        <w:rPr>
          <w:rFonts w:hint="eastAsia" w:ascii="宋体" w:hAnsi="宋体" w:cs="宋体"/>
          <w:color w:val="0D0D0D" w:themeColor="text1" w:themeTint="F2"/>
          <w:kern w:val="0"/>
          <w:szCs w:val="32"/>
          <w14:textFill>
            <w14:solidFill>
              <w14:schemeClr w14:val="tx1">
                <w14:lumMod w14:val="95000"/>
                <w14:lumOff w14:val="5000"/>
              </w14:schemeClr>
            </w14:solidFill>
          </w14:textFill>
        </w:rPr>
        <w:t>在城区道路两旁、市场周边、内街小巷、公共场所设置分类收集垃圾桶，逐步完善垃圾分类投放、收运、处理设施。加快推进农村生活垃圾分类试点。</w:t>
      </w:r>
    </w:p>
    <w:p w14:paraId="11ED7FD6">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05" w:name="_Toc25420"/>
      <w:bookmarkStart w:id="106" w:name="_Hlk5531953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推进生态环境治理能力现代化</w:t>
      </w:r>
      <w:bookmarkEnd w:id="105"/>
    </w:p>
    <w:bookmarkEnd w:id="106"/>
    <w:p w14:paraId="08996504">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07" w:name="_Hlk55319555"/>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明确各类主体权责。</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领导责任体系，按照省负总责、市县抓落实的原则，区委、区政府切实做好监管执法、市场规范、资金安排等工作。强化考核和责任追究，建立以改善生态环境质量为目标的评价考核体系；健全企业主体责任体系，加强排污许可管理，指导企业制订环境管理清单，积极改进和提升污染治理设施。</w:t>
      </w:r>
    </w:p>
    <w:p w14:paraId="30380ACF">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健全环境治理市场体系。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培育规范环境治理市场，在环境污染治理、生态修复、环保技术装备开发等方面，吸引各类市场主体。创新环境治理模式，积极推行环境污染第三方治理，开展小城镇环境综合管理托管服务，建立健全“污染者付费</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第三方治理”等新模式新机制。健全价格收费机制，按照补偿处理成本并合理盈利原则，构建污水、垃圾处理费价格形成机制。</w:t>
      </w:r>
    </w:p>
    <w:p w14:paraId="79A6DC68">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提升生态环境风险科技管控水平。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建立水环境、大气环境、土壤环境生态环境信息收集和反馈制度，完善生态风险防控机制，提升风险应对能力。创新生态环境监管模式，完善遥感监测网络、视频监控网络及无人机综合管控网络，建设生态环境污染监测和智慧预警预报网络平台，全面提高监测自动化、标准化、信息化水平。</w:t>
      </w:r>
    </w:p>
    <w:bookmarkEnd w:id="107"/>
    <w:p w14:paraId="626FA698">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08" w:name="_Toc16203"/>
      <w:bookmarkStart w:id="109" w:name="_Hlk55400731"/>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践行绿色低碳发展方式</w:t>
      </w:r>
      <w:bookmarkEnd w:id="108"/>
    </w:p>
    <w:p w14:paraId="3299F3E3">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大力发展循环经济。</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建立生态产业化、产业生态化的现代化经济体系。围绕碳达峰、碳中和目标，坚决遏制高能耗、高排放项目，主要污染物排放总量持续减少，生态环境持续改善，生态安全屏障更加牢固。构建循环型产业体系，推进企业循环化生产、产业循环化组合、园区循环化改造，探索建设循环经济示范园区。深入开展节能降耗工作，创新“生态+”模式。加快发展金晟兰优特钢等循环经济，大力支持石材等传统产业绿色低碳转型和循环发展。建设循环型农业体系和再生资源回收体系，加强生产垃圾分类回收和再生资源回收的衔接，推进生产系统和生活系统循环链接。加快建设资源循环利用基地，统筹推进生活垃圾、餐厨垃圾、建筑垃圾、工业固废等处理项目建设，推动生活垃圾分类和再生资源回收系统“两网”融合，全面提升城市典型废弃物资源化利用和无害化处置水平。</w:t>
      </w:r>
    </w:p>
    <w:p w14:paraId="7178B682">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倡导绿色低碳生活。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生态文明宣传教育，强化公民生态环境意识，积极推广节约适度、绿色低碳、文明健康的生活方式和消费模式，推动形成全社会共同参与的良好风尚。加强绿色低碳产品的推广应用，提高绿色低碳产品的生产比例和市场占有率。广泛开展文明餐桌、光盘行动等绿色消费活动，推动形成绿色消费良好环境氛围。大力发展绿色交通，推动城市公交车、出租车基本实现电动化，扎实推进公路“厕所革命”、垃圾分类，加大车辆ETC发行率和使用率，确保路网运行绿色、安全、通畅。开展绿色建筑行动，推动既有居住建筑进行节能改造</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新建小区鼓励使用环保材料和低碳施工，积极创建低碳生态城镇和低碳示范小区。</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00A8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331C6871">
            <w:pPr>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0“十四五”时期我区生态环境综合治理重点工程</w:t>
            </w:r>
          </w:p>
        </w:tc>
      </w:tr>
      <w:tr w14:paraId="27B4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8930" w:type="dxa"/>
            <w:vAlign w:val="center"/>
          </w:tcPr>
          <w:p w14:paraId="3E5205A4">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1.云城区河口污水处理厂扩容提质及管网完善改造工程：</w:t>
            </w:r>
            <w:r>
              <w:rPr>
                <w:rFonts w:hint="eastAsia" w:ascii="宋体" w:hAnsi="宋体" w:cs="楷体_GB2312"/>
                <w:color w:val="0D0D0D" w:themeColor="text1" w:themeTint="F2"/>
                <w:sz w:val="24"/>
                <w14:textFill>
                  <w14:solidFill>
                    <w14:schemeClr w14:val="tx1">
                      <w14:lumMod w14:val="95000"/>
                      <w14:lumOff w14:val="5000"/>
                    </w14:schemeClr>
                  </w14:solidFill>
                </w14:textFill>
              </w:rPr>
              <w:t>污水处理厂扩建二期,增加1万立方米/日的处理能力在原管网配套建设设计总规模2万立方米/日的基础上再增加2万立方米/日的处理能力(即处理能力达到4万立方米/日),连接城区污水处理厂至泰安河出口段的污水管道,总长约33公里,管径DN800连接河口片区污水收集接驳,管道总长约6公里,管轻DN600。</w:t>
            </w:r>
          </w:p>
          <w:p w14:paraId="57C5BA02">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2.云城区中心城区大型生活垃圾中转站及附属设施建设项目：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日处理规模为500吨,建设内容为：基础建设（三通一平），包括生活垃圾压缩处理区、废气处理区、临时仓库区、办公区、渗滤液处理区、其他区域建设；购买生活垃圾处理设备、专业收运车辆等。</w:t>
            </w:r>
          </w:p>
          <w:p w14:paraId="5DE8B7F3">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3.云城区中小河流治理工程：</w:t>
            </w:r>
            <w:r>
              <w:rPr>
                <w:rFonts w:hint="eastAsia" w:ascii="宋体" w:hAnsi="宋体" w:cs="楷体_GB2312"/>
                <w:color w:val="0D0D0D" w:themeColor="text1" w:themeTint="F2"/>
                <w:sz w:val="24"/>
                <w14:textFill>
                  <w14:solidFill>
                    <w14:schemeClr w14:val="tx1">
                      <w14:lumMod w14:val="95000"/>
                      <w14:lumOff w14:val="5000"/>
                    </w14:schemeClr>
                  </w14:solidFill>
                </w14:textFill>
              </w:rPr>
              <w:t>治理河长70km，护岸140km，河道清淤疏浚70km。</w:t>
            </w:r>
          </w:p>
        </w:tc>
      </w:tr>
      <w:bookmarkEnd w:id="109"/>
    </w:tbl>
    <w:p w14:paraId="0D72D08F">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10" w:name="_Toc17168"/>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第十二章 倾力增进民生福祉，建设更高水平幸福云城</w:t>
      </w:r>
      <w:bookmarkEnd w:id="110"/>
    </w:p>
    <w:p w14:paraId="1A69D69C">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坚持把实现好、维护好、发展好最广大人民根本利益作为发展的出发点和落脚点，</w:t>
      </w:r>
      <w:r>
        <w:rPr>
          <w:rFonts w:hint="eastAsia" w:ascii="宋体" w:hAnsi="宋体" w:cs="宋体"/>
          <w:kern w:val="0"/>
          <w:szCs w:val="32"/>
        </w:rPr>
        <w:t>开发利用好全国第七次人口普查成果，</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强化底线民生保障，提高基本公共服务优质化、均等化水平，促进民生保障公平普惠，不断实现人民对美好生活的向往。</w:t>
      </w:r>
    </w:p>
    <w:p w14:paraId="735D20EF">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1" w:name="_Toc9448"/>
      <w:bookmarkStart w:id="112" w:name="_Hlk5546290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提高教育现代化水平</w:t>
      </w:r>
      <w:bookmarkEnd w:id="111"/>
    </w:p>
    <w:p w14:paraId="1BBAD194">
      <w:pPr>
        <w:pStyle w:val="45"/>
        <w:spacing w:line="600" w:lineRule="exact"/>
        <w:ind w:firstLine="641"/>
        <w:jc w:val="both"/>
        <w:rPr>
          <w:rFonts w:ascii="宋体" w:hAnsi="宋体" w:eastAsia="仿宋_GB2312"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仿宋_GB2312" w:cs="宋体"/>
          <w:b/>
          <w:bCs/>
          <w:color w:val="0D0D0D" w:themeColor="text1" w:themeTint="F2"/>
          <w:sz w:val="32"/>
          <w:szCs w:val="32"/>
          <w14:textFill>
            <w14:solidFill>
              <w14:schemeClr w14:val="tx1">
                <w14:lumMod w14:val="95000"/>
                <w14:lumOff w14:val="5000"/>
              </w14:schemeClr>
            </w14:solidFill>
          </w14:textFill>
        </w:rPr>
        <w:t>推动各级各类教育协调发展。</w:t>
      </w:r>
      <w:r>
        <w:rPr>
          <w:rFonts w:hint="eastAsia" w:ascii="仿宋_GB2312" w:eastAsia="仿宋_GB2312"/>
          <w:sz w:val="32"/>
          <w:szCs w:val="32"/>
          <w:shd w:val="clear" w:color="auto" w:fill="FFFFFF"/>
        </w:rPr>
        <w:t>实施“教育强区”五年提质行动，加强教师队伍建设，做强做优做大城区教育，</w:t>
      </w:r>
      <w:r>
        <w:rPr>
          <w:rFonts w:hint="eastAsia" w:ascii="仿宋_GB2312" w:eastAsia="仿宋_GB2312"/>
          <w:color w:val="auto"/>
          <w:sz w:val="32"/>
          <w:szCs w:val="32"/>
          <w:shd w:val="clear" w:color="auto" w:fill="FFFFFF"/>
        </w:rPr>
        <w:t>新建（扩建）幼儿园</w:t>
      </w:r>
      <w:r>
        <w:rPr>
          <w:rFonts w:ascii="仿宋_GB2312" w:eastAsia="仿宋_GB2312"/>
          <w:color w:val="auto"/>
          <w:sz w:val="32"/>
          <w:szCs w:val="32"/>
          <w:shd w:val="clear" w:color="auto" w:fill="FFFFFF"/>
        </w:rPr>
        <w:t>6</w:t>
      </w:r>
      <w:r>
        <w:rPr>
          <w:rFonts w:hint="eastAsia" w:ascii="仿宋_GB2312" w:eastAsia="仿宋_GB2312"/>
          <w:color w:val="auto"/>
          <w:sz w:val="32"/>
          <w:szCs w:val="32"/>
          <w:shd w:val="clear" w:color="auto" w:fill="FFFFFF"/>
        </w:rPr>
        <w:t>所、</w:t>
      </w:r>
      <w:r>
        <w:rPr>
          <w:rFonts w:ascii="仿宋_GB2312" w:eastAsia="仿宋_GB2312"/>
          <w:color w:val="auto"/>
          <w:sz w:val="32"/>
          <w:szCs w:val="32"/>
          <w:shd w:val="clear" w:color="auto" w:fill="FFFFFF"/>
        </w:rPr>
        <w:t>每年平均</w:t>
      </w:r>
      <w:r>
        <w:rPr>
          <w:rFonts w:hint="eastAsia" w:ascii="仿宋_GB2312" w:eastAsia="仿宋_GB2312"/>
          <w:color w:val="auto"/>
          <w:sz w:val="32"/>
          <w:szCs w:val="32"/>
          <w:shd w:val="clear" w:color="auto" w:fill="FFFFFF"/>
        </w:rPr>
        <w:t>新增中小学学位</w:t>
      </w:r>
      <w:r>
        <w:rPr>
          <w:rFonts w:ascii="仿宋_GB2312" w:eastAsia="仿宋_GB2312"/>
          <w:color w:val="auto"/>
          <w:sz w:val="32"/>
          <w:szCs w:val="32"/>
          <w:shd w:val="clear" w:color="auto" w:fill="FFFFFF"/>
        </w:rPr>
        <w:t>约3</w:t>
      </w:r>
      <w:r>
        <w:rPr>
          <w:rFonts w:hint="eastAsia" w:ascii="仿宋_GB2312" w:eastAsia="仿宋_GB2312"/>
          <w:color w:val="auto"/>
          <w:sz w:val="32"/>
          <w:szCs w:val="32"/>
          <w:shd w:val="clear" w:color="auto" w:fill="FFFFFF"/>
        </w:rPr>
        <w:t>000个。</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推进学前教育普及普惠安全优质发展，巩固和提升“5080”攻坚成果，加快推进</w:t>
      </w:r>
      <w:r>
        <w:rPr>
          <w:rFonts w:hint="eastAsia" w:ascii="宋体" w:hAnsi="宋体" w:eastAsia="仿宋_GB2312" w:cs="宋体"/>
          <w:color w:val="auto"/>
          <w:sz w:val="32"/>
          <w:szCs w:val="32"/>
        </w:rPr>
        <w:t>云浮市</w:t>
      </w:r>
      <w:r>
        <w:rPr>
          <w:rFonts w:ascii="宋体" w:hAnsi="宋体" w:eastAsia="仿宋_GB2312" w:cs="宋体"/>
          <w:color w:val="auto"/>
          <w:sz w:val="32"/>
          <w:szCs w:val="32"/>
        </w:rPr>
        <w:t>第二幼儿园</w:t>
      </w:r>
      <w:r>
        <w:rPr>
          <w:rFonts w:hint="eastAsia" w:ascii="宋体" w:hAnsi="宋体" w:eastAsia="仿宋_GB2312" w:cs="宋体"/>
          <w:color w:val="auto"/>
          <w:sz w:val="32"/>
          <w:szCs w:val="32"/>
        </w:rPr>
        <w:t>、</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安塘街道第二中心幼儿园、云浮中学附属幼儿园等工程建设，通过专项建设、公办园扩班增容、规范小区配套幼儿园建设使用、鼓励社会力量举办普惠园等途径不断扩大普惠性学前教育学位资源供给。加快推进华弘学校、佛云学校、恒大小学、云浮市实验小学等新建项目以及市一中罗桂桥校区、市一中高峰校区、云硫小学东方校区二期、市田家炳学校、市二中、市三中、安塘中学、腰古中学等扩建项目建设，彻底解决城区学位不足问题，全面提升中心城区教育首位度。全力推进义务教育质量提升工作，促进区域内义务教育均衡化优质化发展。推进普通高中教育优质特色多样化发展，高水平高质量发展高中教育。借力发展中职教育，培养各类技术技能型人才。抓好特殊教育学校建设。构建多层次、多形式、广覆盖的终身教育体系。谋划建设康养学院及老年大学、社区大学。</w:t>
      </w:r>
    </w:p>
    <w:p w14:paraId="59C18C47">
      <w:pPr>
        <w:pStyle w:val="45"/>
        <w:spacing w:line="600" w:lineRule="exact"/>
        <w:ind w:firstLine="641"/>
        <w:jc w:val="both"/>
        <w:rPr>
          <w:rFonts w:ascii="宋体" w:hAnsi="宋体" w:eastAsia="仿宋_GB2312"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仿宋_GB2312" w:cs="宋体"/>
          <w:b/>
          <w:bCs/>
          <w:color w:val="0D0D0D" w:themeColor="text1" w:themeTint="F2"/>
          <w:sz w:val="32"/>
          <w:szCs w:val="32"/>
          <w14:textFill>
            <w14:solidFill>
              <w14:schemeClr w14:val="tx1">
                <w14:lumMod w14:val="95000"/>
                <w14:lumOff w14:val="5000"/>
              </w14:schemeClr>
            </w14:solidFill>
          </w14:textFill>
        </w:rPr>
        <w:t>提高教育发展软实力。</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全面实施强师工程，加强师德师风建设，</w:t>
      </w:r>
      <w:r>
        <w:rPr>
          <w:rFonts w:hint="eastAsia" w:ascii="宋体" w:hAnsi="宋体" w:eastAsia="仿宋_GB2312" w:cs="宋体"/>
          <w:color w:val="auto"/>
          <w:sz w:val="32"/>
          <w:szCs w:val="32"/>
        </w:rPr>
        <w:t>加大培育一批“名校长”、“名教师”、</w:t>
      </w:r>
      <w:r>
        <w:rPr>
          <w:rFonts w:ascii="宋体" w:hAnsi="宋体" w:eastAsia="仿宋_GB2312" w:cs="宋体"/>
          <w:color w:val="auto"/>
          <w:sz w:val="32"/>
          <w:szCs w:val="32"/>
        </w:rPr>
        <w:t>“名班主任”</w:t>
      </w:r>
      <w:r>
        <w:rPr>
          <w:rFonts w:hint="eastAsia" w:ascii="宋体" w:hAnsi="宋体" w:eastAsia="仿宋_GB2312" w:cs="宋体"/>
          <w:color w:val="auto"/>
          <w:sz w:val="32"/>
          <w:szCs w:val="32"/>
        </w:rPr>
        <w:t>。继续从擦亮“云中百年品牌”、中心城区小学“联盟办学”、促进乡村小规模学校教学质量提升、实施中学结对帮扶工作四个方面着力，全面提升基础教育质量。</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按规定配齐各学科各学段教研员，逐步配足教师编制、减少编外教师使用，建设一支高素质专业化教师队伍。坚持立德树人，把学校体育美育劳动教育工作摆在更加突出位置,促进德育、智育、体育、美育与劳动教育有机融合，培养德智体美劳全面发展的社会主义建设者和接班人。加强各级各类学校党的建设和思想政治工作。鼓励社会力量举办教育，规范发展校外培训机构，促进民办教育健康发展。继续实施“积分入学”政策，保障进城务工人员随迁子女平等接受义务教育。推动智慧教育建设，</w:t>
      </w:r>
      <w:r>
        <w:rPr>
          <w:rFonts w:hint="eastAsia" w:ascii="宋体" w:hAnsi="宋体" w:eastAsia="仿宋_GB2312" w:cs="宋体"/>
          <w:color w:val="auto"/>
          <w:sz w:val="32"/>
          <w:szCs w:val="32"/>
        </w:rPr>
        <w:t>创建“云浮市智慧教育试点区”。进一</w:t>
      </w:r>
      <w:r>
        <w:rPr>
          <w:rFonts w:hint="eastAsia" w:ascii="宋体" w:hAnsi="宋体" w:eastAsia="仿宋_GB2312" w:cs="宋体"/>
          <w:color w:val="0D0D0D" w:themeColor="text1" w:themeTint="F2"/>
          <w:sz w:val="32"/>
          <w:szCs w:val="32"/>
          <w14:textFill>
            <w14:solidFill>
              <w14:schemeClr w14:val="tx1">
                <w14:lumMod w14:val="95000"/>
                <w14:lumOff w14:val="5000"/>
              </w14:schemeClr>
            </w14:solidFill>
          </w14:textFill>
        </w:rPr>
        <w:t>步健全资助工作机制，确保家庭经济困难学生资助全覆盖、无遗留。进一步健全教育督导制度，提升教育督导效能。积极开展与粤港澳大湾区教育交流与合作，推进教育融湾。</w:t>
      </w:r>
    </w:p>
    <w:p w14:paraId="4CCEF2B7">
      <w:pPr>
        <w:pStyle w:val="45"/>
        <w:spacing w:line="600" w:lineRule="exact"/>
        <w:ind w:firstLine="641"/>
        <w:jc w:val="both"/>
        <w:rPr>
          <w:rFonts w:ascii="宋体" w:hAnsi="宋体" w:eastAsia="仿宋_GB2312"/>
          <w:color w:val="0D0D0D" w:themeColor="text1" w:themeTint="F2"/>
          <w:kern w:val="2"/>
          <w:sz w:val="32"/>
          <w:szCs w:val="32"/>
          <w:lang w:val="sq-AL"/>
          <w14:textFill>
            <w14:solidFill>
              <w14:schemeClr w14:val="tx1">
                <w14:lumMod w14:val="95000"/>
                <w14:lumOff w14:val="5000"/>
              </w14:schemeClr>
            </w14:solidFill>
          </w14:textFill>
        </w:rPr>
      </w:pPr>
      <w:r>
        <w:rPr>
          <w:rFonts w:hint="eastAsia" w:ascii="宋体" w:hAnsi="宋体" w:eastAsia="仿宋_GB2312" w:cs="宋体"/>
          <w:b/>
          <w:bCs/>
          <w:color w:val="0D0D0D" w:themeColor="text1" w:themeTint="F2"/>
          <w:sz w:val="32"/>
          <w:szCs w:val="32"/>
          <w14:textFill>
            <w14:solidFill>
              <w14:schemeClr w14:val="tx1">
                <w14:lumMod w14:val="95000"/>
                <w14:lumOff w14:val="5000"/>
              </w14:schemeClr>
            </w14:solidFill>
          </w14:textFill>
        </w:rPr>
        <w:t>推进教育综合改革。</w:t>
      </w:r>
      <w:r>
        <w:rPr>
          <w:rFonts w:hint="eastAsia" w:ascii="宋体" w:hAnsi="宋体" w:eastAsia="仿宋_GB2312"/>
          <w:color w:val="0D0D0D" w:themeColor="text1" w:themeTint="F2"/>
          <w:kern w:val="2"/>
          <w:sz w:val="32"/>
          <w:szCs w:val="32"/>
          <w:lang w:val="sq-AL"/>
          <w14:textFill>
            <w14:solidFill>
              <w14:schemeClr w14:val="tx1">
                <w14:lumMod w14:val="95000"/>
                <w14:lumOff w14:val="5000"/>
              </w14:schemeClr>
            </w14:solidFill>
          </w14:textFill>
        </w:rPr>
        <w:t>深化公办学校办学模式改革，探索区域内基础教育集团化办学模式。深化教育教学综合改革，全面提高基础教育质量。持续推进中小学教师县管校聘管理改革，推进义务教育学校教师均衡配置和管理。推进新时代教育评价改革，提高教育治理能力和水平。</w:t>
      </w:r>
    </w:p>
    <w:tbl>
      <w:tblPr>
        <w:tblStyle w:val="18"/>
        <w:tblpPr w:leftFromText="180" w:rightFromText="180" w:vertAnchor="text" w:horzAnchor="margin" w:tblpX="-39" w:tblpY="23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14:paraId="3202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9" w:type="dxa"/>
            <w:vAlign w:val="center"/>
          </w:tcPr>
          <w:p w14:paraId="0C9A0237">
            <w:pPr>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1“十四五”时期我区教育领域建设重点项目</w:t>
            </w:r>
          </w:p>
        </w:tc>
      </w:tr>
      <w:tr w14:paraId="2EE0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219" w:type="dxa"/>
            <w:vAlign w:val="center"/>
          </w:tcPr>
          <w:p w14:paraId="56ED7326">
            <w:pPr>
              <w:spacing w:line="400" w:lineRule="exac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b/>
                <w:bCs/>
                <w:sz w:val="24"/>
              </w:rPr>
              <w:t>1.云浮市</w:t>
            </w:r>
            <w:r>
              <w:rPr>
                <w:rFonts w:ascii="宋体" w:hAnsi="宋体"/>
                <w:b/>
                <w:bCs/>
                <w:sz w:val="24"/>
              </w:rPr>
              <w:t>第二幼儿园</w:t>
            </w:r>
            <w:r>
              <w:rPr>
                <w:rFonts w:hint="eastAsia" w:ascii="宋体" w:hAnsi="宋体"/>
                <w:b/>
                <w:bCs/>
                <w:sz w:val="24"/>
              </w:rPr>
              <w:t>项目：</w:t>
            </w:r>
            <w:r>
              <w:rPr>
                <w:rFonts w:hint="eastAsia" w:ascii="宋体" w:hAnsi="宋体"/>
                <w:color w:val="0D0D0D" w:themeColor="text1" w:themeTint="F2"/>
                <w:sz w:val="24"/>
                <w14:textFill>
                  <w14:solidFill>
                    <w14:schemeClr w14:val="tx1">
                      <w14:lumMod w14:val="95000"/>
                      <w14:lumOff w14:val="5000"/>
                    </w14:schemeClr>
                  </w14:solidFill>
                </w14:textFill>
              </w:rPr>
              <w:t>占地10亩，建筑面积为7356平方米。（1）建设教学楼一栋，楼高四层，地下一层，建筑面积7335平方米；（2）建设楼高一层的门卫室一栋，建筑面积为21平方米；（3）建设室外配套基础设施，主要为室外给排水工程、幼儿园广场及道路硬底化工程、照明工程、绿化工程等。</w:t>
            </w:r>
          </w:p>
          <w:p w14:paraId="49DFB77D">
            <w:pPr>
              <w:spacing w:line="400" w:lineRule="exac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b/>
                <w:bCs/>
                <w:color w:val="0D0D0D" w:themeColor="text1" w:themeTint="F2"/>
                <w:sz w:val="24"/>
                <w14:textFill>
                  <w14:solidFill>
                    <w14:schemeClr w14:val="tx1">
                      <w14:lumMod w14:val="95000"/>
                      <w14:lumOff w14:val="5000"/>
                    </w14:schemeClr>
                  </w14:solidFill>
                </w14:textFill>
              </w:rPr>
              <w:t>2.华弘云浮学校建设项目：</w:t>
            </w:r>
            <w:r>
              <w:rPr>
                <w:rFonts w:hint="eastAsia" w:ascii="宋体" w:hAnsi="宋体"/>
                <w:color w:val="0D0D0D" w:themeColor="text1" w:themeTint="F2"/>
                <w:sz w:val="24"/>
                <w14:textFill>
                  <w14:solidFill>
                    <w14:schemeClr w14:val="tx1">
                      <w14:lumMod w14:val="95000"/>
                      <w14:lumOff w14:val="5000"/>
                    </w14:schemeClr>
                  </w14:solidFill>
                </w14:textFill>
              </w:rPr>
              <w:t>建设一所学制十五年，覆盖幼儿园、小学、初中、高中，终端学生规模超10000人。建设教学楼、实验楼、行政楼、学生宿舍、教工公寓、食堂、图书馆、体育馆、游泳跳水馆、羽毛球馆、乒乓球场、篮球场、田径场、攀岩场、大礼堂、科学馆、专家楼、书院、国际研学中心、国际学术交流中心、风雨连廊及停车场等。</w:t>
            </w:r>
          </w:p>
          <w:p w14:paraId="36C90B6A">
            <w:pPr>
              <w:spacing w:line="400" w:lineRule="exac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b/>
                <w:bCs/>
                <w:color w:val="0D0D0D" w:themeColor="text1" w:themeTint="F2"/>
                <w:sz w:val="24"/>
                <w14:textFill>
                  <w14:solidFill>
                    <w14:schemeClr w14:val="tx1">
                      <w14:lumMod w14:val="95000"/>
                      <w14:lumOff w14:val="5000"/>
                    </w14:schemeClr>
                  </w14:solidFill>
                </w14:textFill>
              </w:rPr>
              <w:t>3.云浮市佛云学校建设项目：</w:t>
            </w:r>
            <w:r>
              <w:rPr>
                <w:rFonts w:hint="eastAsia" w:ascii="宋体" w:hAnsi="宋体"/>
                <w:color w:val="0D0D0D" w:themeColor="text1" w:themeTint="F2"/>
                <w:sz w:val="24"/>
                <w14:textFill>
                  <w14:solidFill>
                    <w14:schemeClr w14:val="tx1">
                      <w14:lumMod w14:val="95000"/>
                      <w14:lumOff w14:val="5000"/>
                    </w14:schemeClr>
                  </w14:solidFill>
                </w14:textFill>
              </w:rPr>
              <w:t>占地120亩，分两期建设。一期投资17989万元，占地81亩，建筑面积35001.69平方米，主要建设初建设一幢综合教学楼、一幢高5层的高中部教学楼、一幢高2层的体育馆、一幢高1层的门卫值班室、建设综合教学楼与各建筑相连的连廊及室外运动场、道路、绿化、水电等配套设施建设；二期投资约21000万元，占地39亩，建筑面积约42830平方米，建设主要内容有图书馆综合楼工程，学生公寓工程，教师公寓，门岗亭工程，连廊工程，篮球场等体育设施，供水及供电设施，园建及绿化工程，室外排水工程，围墙等工程。</w:t>
            </w:r>
          </w:p>
        </w:tc>
      </w:tr>
      <w:bookmarkEnd w:id="112"/>
    </w:tbl>
    <w:p w14:paraId="5600592D">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3" w:name="_Toc23188"/>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大力建设健康云城</w:t>
      </w:r>
      <w:bookmarkEnd w:id="113"/>
    </w:p>
    <w:p w14:paraId="1950E19F">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完善医疗卫生服务体系建设。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持续推进“健康云城”行动，补足医疗卫生短板，完善医疗保障制度，加快区、镇医疗机构建设，切实提高我区医疗卫生服务水平和医疗保障能力。均衡全区医疗资源配置，</w:t>
      </w:r>
      <w:r>
        <w:rPr>
          <w:rFonts w:hint="eastAsia" w:ascii="仿宋_GB2312" w:hAnsi="仿宋_GB2312" w:cs="仿宋_GB2312"/>
          <w:color w:val="0D0D0D" w:themeColor="text1" w:themeTint="F2"/>
          <w:kern w:val="0"/>
          <w:szCs w:val="32"/>
          <w14:textFill>
            <w14:solidFill>
              <w14:schemeClr w14:val="tx1">
                <w14:lumMod w14:val="95000"/>
                <w14:lumOff w14:val="5000"/>
              </w14:schemeClr>
            </w14:solidFill>
          </w14:textFill>
        </w:rPr>
        <w:t>加快推进</w:t>
      </w:r>
      <w:r>
        <w:rPr>
          <w:rFonts w:hint="eastAsia" w:ascii="仿宋_GB2312" w:hAnsi="仿宋_GB2312" w:cs="仿宋_GB2312"/>
          <w:szCs w:val="32"/>
        </w:rPr>
        <w:t>区人民医院易地新建项目</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腰古人民医院升级改造、安塘街社区卫生服务中心加建工程等项目建设，加快落实河口街社区卫生服务中心易地新建、思劳卫生院异地新建、云城区基层医疗卫生机构升级改造、区疾控中心、区卫生监督所办公楼建设等项目建设。加强康复、老年病、长期护理、慢性病管理等接续性医疗机构建设。</w:t>
      </w:r>
      <w:r>
        <w:rPr>
          <w:rFonts w:hint="eastAsia" w:ascii="宋体" w:hAnsi="宋体"/>
          <w:color w:val="0D0D0D" w:themeColor="text1" w:themeTint="F2"/>
          <w:szCs w:val="32"/>
          <w14:textFill>
            <w14:solidFill>
              <w14:schemeClr w14:val="tx1">
                <w14:lumMod w14:val="95000"/>
                <w14:lumOff w14:val="5000"/>
              </w14:schemeClr>
            </w14:solidFill>
          </w14:textFill>
        </w:rPr>
        <w:t>加大中医药强区建设步伐。巩固全国社区中医药工作先进单位创建成果，完善区、镇、村三级医疗机构中医药业务协作机制，健全基层中医药服务网络，优先布局康复、养老等资源稀缺型医疗机构，继续提升中医医疗机构内涵建设，推进中医“治未病”健康工程。</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加快“互联网</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医疗健康”发展，推广惠及全民的健康信息服务和智慧医疗服务。</w:t>
      </w:r>
    </w:p>
    <w:p w14:paraId="700E131A">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加强公共卫生应急能力建设。</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改革完善疾病预防控制体系。构建多层级突发公共卫生事件监测体系，整合各类医药服务信息，实现病例和症状监测信息实时汇集，开展系统化分析并具备预警功能。完善基层公共卫生预防控制体系，健全社区卫生服务中心与街道</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乡镇</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的协同联动机制，为街道</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乡镇</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开展公共卫生工作提供专业技术支持，形成基层公共卫生工作合力。完善重大疫情防控救治体系。修订完善区级突发公共卫生事件应急预案，完善疾病预防控制、妇幼保健、精神疾病等公共卫生服务网络。</w:t>
      </w:r>
    </w:p>
    <w:p w14:paraId="7620E96B">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加强全方位全周期健康管理。</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深入开展爱国卫生运动，健全健康教育制度。调整家庭医生签约服务费，提升家庭医生签约服务覆盖面。加强职业病和慢性病防治，强化重点人群和重大疾病综合防控。加强食品安全和营养信息化建设。加强人口监测，推进优生优育全程服务。加强妇幼保健和计划生育服务机构建设。加强儿童健康干预和儿科诊疗能力建设。支持健康产业发展。</w:t>
      </w:r>
    </w:p>
    <w:p w14:paraId="518EF8E4">
      <w:pPr>
        <w:spacing w:line="600" w:lineRule="exact"/>
        <w:ind w:firstLine="643"/>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加强基层医疗卫生人才培养。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大副主任以上医师培养引进力度，不断提高医疗服务水平。进一步加强农村卫生人员在职在岗培训。以全科医生的培养为重点，健全城乡基层医疗卫生人员培训体系及制度，加强适宜人才培养，推进基层中医师师承教育，鼓励基层西医人员学习中医，加大力度推广中医适宜技术，适应人民群众基本医疗卫生服务需求。</w:t>
      </w:r>
    </w:p>
    <w:p w14:paraId="7CC798A9">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完善全民健身公共服务体系。</w:t>
      </w:r>
      <w:r>
        <w:rPr>
          <w:rFonts w:hint="eastAsia" w:ascii="宋体" w:hAnsi="宋体" w:cs="宋体"/>
          <w:kern w:val="0"/>
          <w:szCs w:val="32"/>
        </w:rPr>
        <w:t>深入开展爱国卫生运动，加快体教体医融合发展</w:t>
      </w:r>
      <w:r>
        <w:rPr>
          <w:rFonts w:hint="eastAsia" w:ascii="宋体" w:hAnsi="宋体" w:cs="宋体"/>
          <w:b/>
          <w:bCs/>
          <w:kern w:val="0"/>
          <w:szCs w:val="32"/>
        </w:rPr>
        <w:t>。</w:t>
      </w:r>
      <w:r>
        <w:rPr>
          <w:rFonts w:hint="eastAsia" w:ascii="宋体" w:hAnsi="宋体" w:cs="宋体"/>
          <w:kern w:val="0"/>
          <w:szCs w:val="32"/>
        </w:rPr>
        <w:t>规划建设区级</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两场两馆一中心”、乡镇（街道、社区）运动健身中心和文体广场。支持建设老年人和户外健身设施，推进公共体育设施无障碍建设和改造，加快打造城乡15分钟健身圈。积极开展全民健身运动，坚持以承办市级赛事活动为引领，定期开展青少年、职工、残疾人、老年人等行业和人群体育赛事活动。</w:t>
      </w:r>
    </w:p>
    <w:p w14:paraId="4FEBA7B8">
      <w:pPr>
        <w:pStyle w:val="24"/>
        <w:ind w:firstLine="640"/>
      </w:pP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BBB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2A30EC3F">
            <w:pPr>
              <w:jc w:val="center"/>
              <w:rPr>
                <w:rFonts w:ascii="黑体" w:hAnsi="黑体" w:eastAsia="黑体"/>
                <w:sz w:val="24"/>
              </w:rPr>
            </w:pPr>
            <w:r>
              <w:rPr>
                <w:rFonts w:hint="eastAsia" w:ascii="黑体" w:hAnsi="黑体" w:eastAsia="黑体"/>
                <w:sz w:val="24"/>
              </w:rPr>
              <w:t>专栏12“十四五”时期我区医疗卫生领域重点项目</w:t>
            </w:r>
          </w:p>
        </w:tc>
      </w:tr>
      <w:tr w14:paraId="5FF9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7" w:hRule="atLeast"/>
        </w:trPr>
        <w:tc>
          <w:tcPr>
            <w:tcW w:w="8930" w:type="dxa"/>
          </w:tcPr>
          <w:p w14:paraId="634E8B25">
            <w:pPr>
              <w:adjustRightInd w:val="0"/>
              <w:snapToGrid w:val="0"/>
              <w:spacing w:line="360" w:lineRule="auto"/>
              <w:rPr>
                <w:rFonts w:ascii="宋体" w:hAnsi="宋体" w:cs="仿宋_GB2312"/>
                <w:b/>
                <w:bCs/>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1.区人民医院易地新建项目：</w:t>
            </w:r>
            <w:r>
              <w:rPr>
                <w:rFonts w:hint="eastAsia" w:ascii="宋体" w:hAnsi="宋体" w:cs="仿宋_GB2312"/>
                <w:color w:val="0D0D0D" w:themeColor="text1" w:themeTint="F2"/>
                <w:sz w:val="24"/>
                <w14:textFill>
                  <w14:solidFill>
                    <w14:schemeClr w14:val="tx1">
                      <w14:lumMod w14:val="95000"/>
                      <w14:lumOff w14:val="5000"/>
                    </w14:schemeClr>
                  </w14:solidFill>
                </w14:textFill>
              </w:rPr>
              <w:t>占地24598平方米，分两期建设。其中：一期建筑面积33293平方米，计划投资17999万元，建设床位200张，进行门诊楼、住院医技楼、医辅楼员工宿舍、医院饭堂及其他配套基础设施建设；二期建筑面积26200平方米，计划投资23875万元，设置床位250张，新建住院楼一栋、医疗专业装修、购买医疗设备一批及配套设施建设。</w:t>
            </w:r>
          </w:p>
          <w:p w14:paraId="0E8BACDA">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仿宋_GB2312"/>
                <w:b/>
                <w:bCs/>
                <w:color w:val="0D0D0D" w:themeColor="text1" w:themeTint="F2"/>
                <w:sz w:val="24"/>
                <w14:textFill>
                  <w14:solidFill>
                    <w14:schemeClr w14:val="tx1">
                      <w14:lumMod w14:val="95000"/>
                      <w14:lumOff w14:val="5000"/>
                    </w14:schemeClr>
                  </w14:solidFill>
                </w14:textFill>
              </w:rPr>
              <w:t>2.</w:t>
            </w:r>
            <w:r>
              <w:rPr>
                <w:rFonts w:hint="eastAsia" w:ascii="宋体" w:hAnsi="宋体" w:cs="仿宋_GB2312"/>
                <w:b/>
                <w:bCs/>
                <w:sz w:val="24"/>
              </w:rPr>
              <w:t>腰古</w:t>
            </w:r>
            <w:r>
              <w:rPr>
                <w:rFonts w:hint="eastAsia" w:ascii="宋体" w:hAnsi="宋体" w:cs="仿宋_GB2312"/>
                <w:b/>
                <w:bCs/>
                <w:color w:val="0D0D0D" w:themeColor="text1" w:themeTint="F2"/>
                <w:sz w:val="24"/>
                <w14:textFill>
                  <w14:solidFill>
                    <w14:schemeClr w14:val="tx1">
                      <w14:lumMod w14:val="95000"/>
                      <w14:lumOff w14:val="5000"/>
                    </w14:schemeClr>
                  </w14:solidFill>
                </w14:textFill>
              </w:rPr>
              <w:t>人民医院升级改造：</w:t>
            </w:r>
            <w:r>
              <w:rPr>
                <w:rFonts w:hint="eastAsia" w:ascii="宋体" w:hAnsi="宋体" w:cs="仿宋_GB2312"/>
                <w:color w:val="0D0D0D" w:themeColor="text1" w:themeTint="F2"/>
                <w:sz w:val="24"/>
                <w14:textFill>
                  <w14:solidFill>
                    <w14:schemeClr w14:val="tx1">
                      <w14:lumMod w14:val="95000"/>
                      <w14:lumOff w14:val="5000"/>
                    </w14:schemeClr>
                  </w14:solidFill>
                </w14:textFill>
              </w:rPr>
              <w:t>原地改扩建，分两期建设。其中：一期总投资18000万元，建设一栋住院综合大楼，地下车库、新建配套后勤业务用房、医院地上停车场和绿化，污水处理、消防设施设备、道路绿化、供水、供电等配套设施；原住院楼改造、公卫楼改造，门诊大楼拆除、仓库楼拆除等；二期总投资12000万元，改造升级现有旧住院楼和公卫楼消防系统，面积约4034平方米；改造旧有住院楼、公卫楼、公寓楼、医技楼等建筑外立面，统一风格，面积约5044平方米。新建发热门诊、肠道门诊综合楼、园区内桥梁2座。</w:t>
            </w:r>
          </w:p>
        </w:tc>
      </w:tr>
    </w:tbl>
    <w:p w14:paraId="30363B0B">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4" w:name="_Toc3273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积极应对人口老龄化</w:t>
      </w:r>
      <w:bookmarkEnd w:id="114"/>
    </w:p>
    <w:p w14:paraId="6B1F8F66">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促进人口长期均衡发展。</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优化生育政策，增强生育政策包容性，提高优生优育服务水平，发展普惠托育服务体系，降低生育、养育、教育成本，强化全生命周期服务理念和优生优育服务，提高出生人口和新增劳动力素质，降低人口老龄化导致劳动力供给总量下降的不利影响。</w:t>
      </w:r>
    </w:p>
    <w:p w14:paraId="030B729C">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积极开发老龄人力资源。</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前瞻性做好渐进式延迟退休年龄政策的实施准备工作，健全配套政策措施，支持大龄劳动者和老年人就业创业。紧跟老年消费需求变化，深化老年产品市场供给侧结构性改革，鼓励高新技术和先进适用技术广泛应用，促进养老与教育培训、健康、体育、文化、旅游、家政、康复辅具等产业融合发展，推动银发经济大发展，实现积极应对人口老龄化政策措施社会效益与经济效益相统一。</w:t>
      </w:r>
    </w:p>
    <w:p w14:paraId="6A11490B">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构建高质量养老服务体系。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巩固家庭养老基础地位，支持家庭承担养老功能。围绕居家社区主阵地，加快居家养老服务中心建设，大力发展互助型社区养老服务。完善云城区南粤家政居家养老综合培训就业示范服务基地培训体系建设，通过该基地示范带动，把养老家政服务与居家养老服务点有机结合起来，推进居家、养老家政业的发展，打造具有云城特色的居家养老服务。积极探索“互联网</w:t>
      </w:r>
      <w:r>
        <w:rPr>
          <w:rFonts w:ascii="宋体" w:hAnsi="宋体" w:cs="宋体"/>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大数据”在社区养老中的作用，利用好智慧养老大数据管理平台，提升养老服务质量，满足老年群体多样化的养老需求，全力打造“</w:t>
      </w:r>
      <w:r>
        <w:rPr>
          <w:rFonts w:ascii="宋体" w:hAnsi="宋体" w:cs="宋体"/>
          <w:color w:val="0D0D0D" w:themeColor="text1" w:themeTint="F2"/>
          <w:kern w:val="0"/>
          <w:szCs w:val="32"/>
          <w14:textFill>
            <w14:solidFill>
              <w14:schemeClr w14:val="tx1">
                <w14:lumMod w14:val="95000"/>
                <w14:lumOff w14:val="5000"/>
              </w14:schemeClr>
            </w14:solidFill>
          </w14:textFill>
        </w:rPr>
        <w:t>15</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分钟养老服务圈”，助力推动全国居家和社区养老服务改革试点市建设。针对农村服务体系短板，拓展乡镇敬老院的区域养老服务中心功能，发挥村级互助养老服务设施前沿阵地作用。支持医疗卫生和养老服务深度融合，为老年人提供患病期治疗、康复期护理、稳定期生活照料及安宁疗护一体化的健康养老服务。积极开展老年人智能技术教育，引导老年人积极融入智慧社会。积极开发老龄人力资源，建设老年友好型社会，支持发展面向老年人的公益慈善事业。</w:t>
      </w:r>
    </w:p>
    <w:tbl>
      <w:tblPr>
        <w:tblStyle w:val="18"/>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79DE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14:paraId="6699FAD4">
            <w:pPr>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3“十四五”时期我区养老领域重点项目</w:t>
            </w:r>
          </w:p>
        </w:tc>
      </w:tr>
      <w:tr w14:paraId="6049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7" w:hRule="atLeast"/>
        </w:trPr>
        <w:tc>
          <w:tcPr>
            <w:tcW w:w="8930" w:type="dxa"/>
            <w:vAlign w:val="center"/>
          </w:tcPr>
          <w:p w14:paraId="34CF475C">
            <w:pPr>
              <w:adjustRightInd w:val="0"/>
              <w:snapToGrid w:val="0"/>
              <w:spacing w:line="360" w:lineRule="auto"/>
              <w:rPr>
                <w:rFonts w:ascii="宋体" w:hAnsi="宋体" w:cs="楷体_GB2312"/>
                <w:b/>
                <w:bCs/>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1.云城区社区居家养老服务中心（站）体系建设：</w:t>
            </w:r>
            <w:r>
              <w:rPr>
                <w:rFonts w:hint="eastAsia" w:ascii="宋体" w:hAnsi="宋体" w:cs="楷体_GB2312"/>
                <w:color w:val="0D0D0D" w:themeColor="text1" w:themeTint="F2"/>
                <w:sz w:val="24"/>
                <w14:textFill>
                  <w14:solidFill>
                    <w14:schemeClr w14:val="tx1">
                      <w14:lumMod w14:val="95000"/>
                      <w14:lumOff w14:val="5000"/>
                    </w14:schemeClr>
                  </w14:solidFill>
                </w14:textFill>
              </w:rPr>
              <w:t>新（改）建24个社区居家养老服务中心（站），建筑面积约6150平方米，为老服务覆盖100%城镇社区、60%以上农村社区，培养300名以上养老服务专业人员，形成城区15分钟“为老服务圈”。</w:t>
            </w:r>
          </w:p>
          <w:p w14:paraId="6996D849">
            <w:pPr>
              <w:adjustRightInd w:val="0"/>
              <w:snapToGrid w:val="0"/>
              <w:spacing w:line="360"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楷体_GB2312"/>
                <w:b/>
                <w:bCs/>
                <w:color w:val="0D0D0D" w:themeColor="text1" w:themeTint="F2"/>
                <w:sz w:val="24"/>
                <w14:textFill>
                  <w14:solidFill>
                    <w14:schemeClr w14:val="tx1">
                      <w14:lumMod w14:val="95000"/>
                      <w14:lumOff w14:val="5000"/>
                    </w14:schemeClr>
                  </w14:solidFill>
                </w14:textFill>
              </w:rPr>
              <w:t>2.云城区福利服务中心建设项目：</w:t>
            </w:r>
            <w:r>
              <w:rPr>
                <w:rFonts w:hint="eastAsia" w:ascii="宋体" w:hAnsi="宋体" w:cs="楷体_GB2312"/>
                <w:color w:val="0D0D0D" w:themeColor="text1" w:themeTint="F2"/>
                <w:sz w:val="24"/>
                <w14:textFill>
                  <w14:solidFill>
                    <w14:schemeClr w14:val="tx1">
                      <w14:lumMod w14:val="95000"/>
                      <w14:lumOff w14:val="5000"/>
                    </w14:schemeClr>
                  </w14:solidFill>
                </w14:textFill>
              </w:rPr>
              <w:t>占地128.1984亩，建设护理院、养老院、敬老院、儿童福利院（未成年人保护中心），配套建设道路、停车场、风雨廊、室外活动场所、值班室等附属设施。</w:t>
            </w:r>
          </w:p>
        </w:tc>
      </w:tr>
    </w:tbl>
    <w:p w14:paraId="7DE13432">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5" w:name="_Toc3001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构建多层次社会保障体系</w:t>
      </w:r>
      <w:bookmarkEnd w:id="115"/>
    </w:p>
    <w:p w14:paraId="72F6A957">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提高就业质量和收入水平。</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落实就业优先政策，加快完善再就业机制，落实减负援企政策，保市场主体，强化就业服务，搭建就业平台，进一步扩大就业容量和提升就业质量。深入推进“粤菜师傅”“广东技工”“南粤家政”三项工程，加快实施“农村电商”“乡村工匠”“高素质农民培育”重点工程。深入实施“大众创业、万众创新”，促进创业带动就业。实现居民收入增长与经济增长基本同步，劳动报酬增长与劳动生产率提高基本同步。完善工资制度，健全工资合理增长机制和最低工资标准调整机制。多渠道增加城乡居民财产性收入，确保特困人员、残疾人等重点群体的各项补贴扶助落实到位。</w:t>
      </w:r>
    </w:p>
    <w:p w14:paraId="4D2B15AE">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完善住房保障体系。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大公共租赁住房、社会化租赁住房、安居型商品住房、安置型商品住房供应力度。针对不同住房困难群体，采取适当的保障方式和保障标准，对我区户籍低保、低收入家庭，以实物保障为主、租赁补贴为辅，实行应保尽保。对我区户籍中等偏下收入家庭，以租赁补贴为主、实物保障为辅，合理解决居住需求。对在我区稳定就业的外来务工人员，通过租赁补贴、公租房或产业功能区配套住房，有效促进职住平衡。对新就业大学生和引进人才，通过租赁补贴、人才公寓或产业功能区配套住房，解决阶段性住房困难。对棚户区改造居民，通过安置补偿、新建安置房等方式，支持改善居住条件。</w:t>
      </w:r>
    </w:p>
    <w:p w14:paraId="46737F2B">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健全社会保险体系。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继续实施全民参保计划，持续扩大参保覆盖面，开展参保人员登记跟踪制度。落实养老金调整政策，积极做好基础养老统筹工作。深化医保支付方式改革，推进医保信息平台建设，全面实现异地就医直接结算。全面推进各类医疗保险制度统筹整合，健全大病保险制度，鼓励发展补充医疗保险和商业健康保险。持续推进社保领域重大改革，强化社会保险风险防控管理。</w:t>
      </w:r>
    </w:p>
    <w:p w14:paraId="7EE4CD5E">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完善社会福利服务体系。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困难群体社会保障政府兜底机制，建立城乡救助对象临时价格补贴与物价上涨挂钩的联动调整机制。完善救助管理服务体系，健全医疗救助制度，设立重大疾病救助基金，建立家庭经济困难群众和重特大疾病患者疾病救助体系。加强农村留守儿童、妇女、老人关爱服务体系建设。健全孤儿及困境儿童保障体系，确保孤儿基本生活保障标准逐年增长。建立高龄老年人津贴和家庭经济困难的老年人养老服务补贴制度。积极培育和规范社会慈善组织，鼓励社会力量举办公益事业。</w:t>
      </w:r>
    </w:p>
    <w:p w14:paraId="096E001A">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保障妇女儿童等群体基本权益。</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促进妇女全面发展。加强妇女卫生服务体系建设，加大对妇女卫生投入力度，提高妇女健康水平。切实保护儿童权益。扩大儿童福利范围，完善儿童福利体系。提高儿童工作社会化服务水平，创建儿童友好型社会环境。推动妇女儿童活动场所升级改造，提供非营利性的婴幼儿照护服务。支持残疾人事业发展。推动残疾人就业，促进残疾人全面发展。建立完善残疾人康复救助制度，实施对残疾人的特别救助。加强残疾人服务机构和服务设施建设，培育发展残疾人服务组织。注重家庭、家教、家风，推动家庭文明、家庭教育、家庭服务、家庭研究工作，构建男女平等、和睦、文明的婚姻家庭关系。促进家庭成员践行社会主义核心价值观，树立新时代家庭观，推动形成爱国爱家、相亲相爱、向上向善、共建共享的家庭文明新风尚。</w:t>
      </w:r>
    </w:p>
    <w:p w14:paraId="0866A04A">
      <w:pPr>
        <w:spacing w:line="600" w:lineRule="exact"/>
        <w:ind w:firstLine="643"/>
        <w:rPr>
          <w:rFonts w:ascii="宋体" w:hAnsi="宋体"/>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促进青年全面发展。</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强青年理想信念教育，在青年中培育和践行社会主义核心价值观。聚焦青年思想道德、青年教育、青年健康、青年婚恋、青年就业与创新创业、青年文化、青年社会融入与社会参与、维护青年合法权益和预防犯罪以及青年社会保障等九大重点领域出实招办实事，注重特殊青年群体关爱服务，不断提高广大青少年的获得感、幸福感和安全感。充分发挥共青团、青联等组织的主导作用，带动青年积极参与社会主义现代化建设。维护青少年合法权益，有效打击和遏制侵害青少年合法权益行为，预防青少年违法犯罪。推动建设云城区青少年宫。</w:t>
      </w:r>
    </w:p>
    <w:p w14:paraId="179133E5">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6" w:name="_Toc3197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第五节 加强和创新社会治理</w:t>
      </w:r>
      <w:bookmarkEnd w:id="116"/>
    </w:p>
    <w:p w14:paraId="7017FE86">
      <w:pPr>
        <w:adjustRightInd w:val="0"/>
        <w:snapToGrid w:val="0"/>
        <w:spacing w:line="600" w:lineRule="exact"/>
        <w:ind w:firstLine="640" w:firstLineChars="20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加快推进市域社会治理现代化试点工作，完善共建共治共享的社会治理制度，健全党组织领导的自治、法治、德治相结合的治理体系。推进基层治理体系和治理现代化建设，切实把制度优势转化为基层治理效能。推进区域社会治理智慧化建设。完善公共法律服务平台建设，构建全区域覆盖的公共法律服务体系。探索构建以“3个三”为支撑的城乡融合发展机制。深化完善“微网格＋积分制”基层治理云城样本，不断提升社会治理社会化、专业化、智能化、法治化水平。强化“党建+社会治理”建设，使党建工作的“触角”延伸到社会治理的每个末梢。推行“社工+志愿者”模式，培育发展社区志愿者组织，鼓励社会组织提供多层次、多样化社会公益服务。完善劳资纠纷综合协调处理机制，构建和谐劳资关系。拓宽群众参与社会治理渠道，努力打造人人有责、人人尽责、人人享有的社会治理共同体。</w:t>
      </w:r>
    </w:p>
    <w:p w14:paraId="33F1597A">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17" w:name="_Toc10371"/>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第十三章 统筹发展和安全，建设更高水平平安云城</w:t>
      </w:r>
      <w:bookmarkEnd w:id="117"/>
    </w:p>
    <w:p w14:paraId="7750F050">
      <w:pPr>
        <w:adjustRightInd w:val="0"/>
        <w:snapToGrid w:val="0"/>
        <w:spacing w:line="600" w:lineRule="exact"/>
        <w:ind w:firstLine="640"/>
        <w:rPr>
          <w:rFonts w:ascii="宋体" w:hAnsi="宋体" w:cs="宋体"/>
          <w:color w:val="0D0D0D" w:themeColor="text1" w:themeTint="F2"/>
          <w:kern w:val="0"/>
          <w:szCs w:val="32"/>
          <w:lang w:val="sq-AL"/>
          <w14:textFill>
            <w14:solidFill>
              <w14:schemeClr w14:val="tx1">
                <w14:lumMod w14:val="95000"/>
                <w14:lumOff w14:val="5000"/>
              </w14:schemeClr>
            </w14:solidFill>
          </w14:textFill>
        </w:rPr>
      </w:pP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总体国家安全观，着眼“两个前沿”，统筹“四防”“三安全”，把安全发展贯穿发展各领域和全过程，坚决防范和化解现代化进程的各种风险，把云城打造成为全省最安全稳定、最公平公正、法治环境最好的地区之一。</w:t>
      </w:r>
    </w:p>
    <w:p w14:paraId="72F0DD49">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18" w:name="_Toc12486"/>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建设更高水平的平安云城</w:t>
      </w:r>
      <w:bookmarkEnd w:id="118"/>
    </w:p>
    <w:p w14:paraId="5430D668">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19" w:name="_Hlk60048496"/>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加强安全生产管理。</w:t>
      </w:r>
      <w:bookmarkEnd w:id="119"/>
      <w:r>
        <w:rPr>
          <w:rFonts w:hint="eastAsia" w:ascii="宋体" w:hAnsi="宋体" w:cs="宋体"/>
          <w:color w:val="0D0D0D" w:themeColor="text1" w:themeTint="F2"/>
          <w:kern w:val="0"/>
          <w:szCs w:val="32"/>
          <w14:textFill>
            <w14:solidFill>
              <w14:schemeClr w14:val="tx1">
                <w14:lumMod w14:val="95000"/>
                <w14:lumOff w14:val="5000"/>
              </w14:schemeClr>
            </w14:solidFill>
          </w14:textFill>
        </w:rPr>
        <w:t>完善安全生产长效机制，加快完善安全生产检查督查、事故调查处理、责任制考核、重大隐患挂牌督办等制度，完善安全生产监管体系，落实安全生产责任制，抓好道路交通、建筑施工、危险化学品、公共卫生、食品药品、消防等安全监管，坚决遏制较大及以上事故发生。深入开展质量强区建设行动，全力配合国家、省、市质量监管部门在辖区中的产品质量监督抽查，并且做好监督抽查后处理工作。强化企业安全生产主体责任落实，实施安全生产违法企业“黑名单”制度，推行第三方机构参与事故隐患诊断、排查治理等模式。推进企业安全生产标准建设。强化镇（街）安全生产监管职责，理清监管主体，明确安全生产执法职责。</w:t>
      </w:r>
    </w:p>
    <w:p w14:paraId="1B22128B">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加强信息安全保障。</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建立网络与信息安全联合监管和协调机制，推动落实网络安全与信息化同步设计、同步建设、同步运维。增强电信网、广播电视网、互联网以及无线宽带网络的安全防护能力。建立全区统一的公共场所无线局域网</w:t>
      </w:r>
      <w:r>
        <w:rPr>
          <w:rFonts w:ascii="宋体" w:hAnsi="宋体" w:cs="宋体"/>
          <w:color w:val="0D0D0D" w:themeColor="text1" w:themeTint="F2"/>
          <w:kern w:val="0"/>
          <w:szCs w:val="32"/>
          <w14:textFill>
            <w14:solidFill>
              <w14:schemeClr w14:val="tx1">
                <w14:lumMod w14:val="95000"/>
                <w14:lumOff w14:val="5000"/>
              </w14:schemeClr>
            </w14:solidFill>
          </w14:textFill>
        </w:rPr>
        <w:t>(WLAN)</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网络管理平台，落实安全保护技术措施。建立网络安全监测预警和通报处置机制，建设政务信息安全监管平台，完善政府信息技术服务外包安全管理。鼓励发展信息安全产业，完善网络信用体系，规范互联网服务市场秩序。</w:t>
      </w:r>
    </w:p>
    <w:p w14:paraId="1755ED52">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提升国防动员能力。</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聚焦备战打仗主责主业，始终强化忧患意识、危机意识、打仗意识，抓紧抓实动员准备，普及和加强全民国防教育，增强公众国防观念和国家安全意识。完善国民经济动员组织机构体系，推进国民经济动员常态化建设。加强人民武装建设。巩固提升双拥工作。引导专业复退军人积极投身军民融合实践，对退役士兵开展定向定岗教育培训，充分提升军民融合质量效益。</w:t>
      </w:r>
    </w:p>
    <w:p w14:paraId="581A3EBD">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0" w:name="_Toc1579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全面保障经济安全</w:t>
      </w:r>
      <w:bookmarkEnd w:id="120"/>
    </w:p>
    <w:p w14:paraId="04046019">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确保粮食安全。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严守耕地红线，全面落实永久基本农田特殊保护政策措施。深入实施藏粮于地、藏粮于技战略，深入开展耕地质量保护与提升行动，加强耕地质量建设和监测评价，实施补齐农田水利短板和节水农业行动，推进农村土地整治和高标准农田建设，加大粮食功能区建设，落实最严格的耕地保护制度，坚决守住耕地质量和数量红线。坚定落实国家粮食安全战略，稳步提高粮食生产能力，推广循环农业技术，提高粮食生产资源利用效率。加强粮食储备安全管理，进一步优化储备粮区域布局、品种结构，定期将粮食储备品种、数量和布局等信息报送上级有关部门。大力推进节粮减损和健康消费，探索厉行节约、反对浪费的长效机制，坚决制止餐饮浪费行为。继续深化拓展国家农产品安全区成果，全力保障粮食安全及重要农产品有效供给。</w:t>
      </w:r>
    </w:p>
    <w:p w14:paraId="58BE0EEC">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保障能源安全。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以保障能源供应安全为首要任务，着力提升能源安全底线保障能力、加强能源储备调节体系建设、完善能源风险应急管控体系。积极推动“煤改气”工作，降低煤炭使用比例。在保障消纳的前提下，支持清洁能源发电大力发展。确保能源作为重要生产生活要素的配置效率与公平，消除不利于复工复产降成本的机制障碍，完善能源监管机制，维护经济发展和社会稳定大局。</w:t>
      </w:r>
    </w:p>
    <w:p w14:paraId="3C25A289">
      <w:pPr>
        <w:adjustRightInd w:val="0"/>
        <w:snapToGrid w:val="0"/>
        <w:spacing w:line="600" w:lineRule="exact"/>
        <w:ind w:firstLine="640"/>
        <w:rPr>
          <w:rFonts w:ascii="宋体" w:hAnsi="宋体" w:cs="宋体"/>
          <w:b/>
          <w:bCs/>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维护金融安全。</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要把防控金融风险放到更加重要的位置，牢牢守住不发生系统性风险的底线，加强金融监管，防范和化解经济领域风险向社会、民生领域传导。坚持将促结合作为稳金融的治本之策，着力在扩大信贷投放规模、拓宽直接融资渠道、营造良好金融生态、稳定市场预期上下功夫，全面提升金融服务实体经济水平。做强金融主体，创新金融产品，扩大金融开放，持续激发金融发展的内在动力。加强督察考核，对可能引发风险的重点领域和关键环节，开展全面排查，强化重点督察，完善激励问责，确保落实到位，切实做好金融改革发展和防控风险各项工作。</w:t>
      </w:r>
    </w:p>
    <w:p w14:paraId="101647D6">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1" w:name="_Toc4145"/>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维护社会稳定和安全</w:t>
      </w:r>
      <w:bookmarkEnd w:id="121"/>
    </w:p>
    <w:p w14:paraId="3BB43D59">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bookmarkStart w:id="122" w:name="_Hlk55373982"/>
      <w:bookmarkStart w:id="123" w:name="_Hlk60048602"/>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加强社会治安综合治理。</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立体化社会治安防控体系，推进扫黑除恶常态化发展，巩固全民禁毒工程成效，积极开展“扫黄打非”。推动落实“以案定编”改革，适当增加中心城区基层检察院的中央政法编制。加强预防和化解社会矛盾机制建设，切实维护治安稳定、国家安全和意识形态安全。持续深入推进平安村（居）、平安校园、平安家庭、平安企业、平安文化市场等重点“平安细胞”创建活动。完善劳资纠纷综合协调处理机制，构建和谐劳资关系。进一步完善治安设施，在广场、人口密集的地方、重点路口、村口增设治安岗亭，同时加强警务车穿梭流动巡逻和联勤巡逻工作，构建严密的社会治安“平安网”。</w:t>
      </w:r>
    </w:p>
    <w:p w14:paraId="72E6BFBB">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完善应急管理体系。</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健全应急处置机制，建设应急指挥综合平台，建立统一领导、协调联动、高效顺畅的“平安云城”应急指挥体系。加强综合救援机制，制定有效的激励措施，保持综合救援队伍的稳定性。建立高效的生产事故预防机制。加快建设完善城乡应急避难场所，建成“云城区自然灾害应急避护中心”。加强气象现代化建设，实施智慧气象服务工程和生态气象服务工程，强化气象监测和预报预警工作。加强应急救援专业队伍建设和应急物资储备，提高应急装备的特种技术专业配置水平。在佛山（云浮）产业转移工业园新建消防站项目，以保障氢能产业配套制氢专区消防安全。常态化开展公共卫生突发事件、安全生产事件、重大自然灾害等事件的应急处置演练，不断提高公共安全和防灾救灾减灾能力。</w:t>
      </w:r>
    </w:p>
    <w:bookmarkEnd w:id="122"/>
    <w:bookmarkEnd w:id="123"/>
    <w:p w14:paraId="41284EE8">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4" w:name="_Toc11669"/>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 加快建设法治云城</w:t>
      </w:r>
      <w:bookmarkEnd w:id="124"/>
    </w:p>
    <w:p w14:paraId="2353D5B8">
      <w:pPr>
        <w:spacing w:line="600" w:lineRule="exact"/>
        <w:ind w:firstLine="643"/>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重视</w:t>
      </w:r>
      <w:bookmarkStart w:id="125" w:name="_Hlk60048546"/>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法治政府建设</w:t>
      </w:r>
      <w:bookmarkEnd w:id="125"/>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坚持以人民为中心，运用法治思维和法治方式开展工作，落实监督机制，自觉接受区人大及其常委会的法律监督、工作监督和区政协的民主监督。加强数字政府建设和政务公开，全面落实行政执法责任制，坚持规范公正文明执法，提高政府的公信力、执行力。深入推进司法体制改革，落实司法体制改革试点任务，实施确保依法独立公正行使审判权和检察权的制度，建立领导干部干预司法活动、插手具体案件处理的记录、通报和责任追究制度。严格执行行政诉讼法,健全行政机关负责人依法出庭应诉、支持法院受理行政案件、尊重并执行法院生效裁判的制度。加强党对法治政府建设组织领导，将法治政府建设纳入总体规划和年度工作计划，党政主要负责人切实履行推进法治建设第一责任人职责，纳入年终述职、政绩考核指标体系。</w:t>
      </w:r>
    </w:p>
    <w:p w14:paraId="10C952A2">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健全</w:t>
      </w:r>
      <w:bookmarkStart w:id="126" w:name="_Hlk6004855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法律服务体系</w:t>
      </w:r>
      <w:bookmarkEnd w:id="126"/>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推进覆盖城乡居民的公共法律服务体系建设，巩固一村(社区)一法律顾问工作成果。健全司法救助体系，扩大司法救助的适用范围和救助对象，完善司法救助的标准和内容，简化司法救助审批程序。加强对律师、公证等法律服务行业的政策扶持和监督管理。发展壮大律师队伍，大力支持律师、公证等专业服务业发展，加强民生领域法律服务。</w:t>
      </w:r>
    </w:p>
    <w:p w14:paraId="30EF96A4">
      <w:pPr>
        <w:adjustRightInd w:val="0"/>
        <w:snapToGrid w:val="0"/>
        <w:spacing w:line="600" w:lineRule="exact"/>
        <w:ind w:firstLine="640"/>
        <w:rPr>
          <w:rFonts w:ascii="宋体" w:hAnsi="宋体" w:cs="宋体"/>
          <w:color w:val="0D0D0D" w:themeColor="text1" w:themeTint="F2"/>
          <w:kern w:val="0"/>
          <w:szCs w:val="32"/>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深入开展</w:t>
      </w:r>
      <w:bookmarkStart w:id="127" w:name="_Hlk6004856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全民普法教育</w:t>
      </w:r>
      <w:bookmarkEnd w:id="127"/>
      <w:r>
        <w:rPr>
          <w:rFonts w:hint="eastAsia" w:ascii="宋体" w:hAnsi="宋体" w:cs="宋体"/>
          <w:b/>
          <w:bCs/>
          <w:color w:val="0D0D0D" w:themeColor="text1" w:themeTint="F2"/>
          <w:kern w:val="0"/>
          <w:szCs w:val="32"/>
          <w14:textFill>
            <w14:solidFill>
              <w14:schemeClr w14:val="tx1">
                <w14:lumMod w14:val="95000"/>
                <w14:lumOff w14:val="5000"/>
              </w14:schemeClr>
            </w14:solidFill>
          </w14:textFill>
        </w:rPr>
        <w:t>。</w:t>
      </w:r>
      <w:r>
        <w:rPr>
          <w:rFonts w:hint="eastAsia" w:ascii="宋体" w:hAnsi="宋体" w:cs="宋体"/>
          <w:color w:val="0D0D0D" w:themeColor="text1" w:themeTint="F2"/>
          <w:kern w:val="0"/>
          <w:szCs w:val="32"/>
          <w14:textFill>
            <w14:solidFill>
              <w14:schemeClr w14:val="tx1">
                <w14:lumMod w14:val="95000"/>
                <w14:lumOff w14:val="5000"/>
              </w14:schemeClr>
            </w14:solidFill>
          </w14:textFill>
        </w:rPr>
        <w:t>发挥领导干部“关键少数”带头作用，将法律学习纳入领导干部日常工作任务。贯彻落实“谁执法谁普法”工作责任制，在执法过程中宣传解读相关法律知识。突出抓好青少年“关键群体”的法律学习教育，充分发挥中小学“法制副校长”、“八五”普法讲师团等的作用，积极开展法治宣传教育活动。加大《宪法》和《民法典》的宣传力度，深入开展法律“六进”活动，推进法治宣传进单位、进乡村、进社区、进学校、进企业、进网络，持续将各类法治宣传阵地提质升级，推动法治文化真正融入人民群众的日常生活。</w:t>
      </w:r>
    </w:p>
    <w:p w14:paraId="29C1E682">
      <w:pPr>
        <w:pStyle w:val="4"/>
        <w:adjustRightInd w:val="0"/>
        <w:snapToGrid w:val="0"/>
        <w:spacing w:before="120" w:after="120" w:line="760" w:lineRule="exact"/>
        <w:jc w:val="center"/>
        <w:rPr>
          <w:rFonts w:ascii="宋体" w:hAnsi="宋体" w:eastAsia="黑体"/>
          <w:b w:val="0"/>
          <w:bCs w:val="0"/>
          <w:color w:val="0D0D0D" w:themeColor="text1" w:themeTint="F2"/>
          <w:sz w:val="32"/>
          <w:szCs w:val="32"/>
          <w14:textFill>
            <w14:solidFill>
              <w14:schemeClr w14:val="tx1">
                <w14:lumMod w14:val="95000"/>
                <w14:lumOff w14:val="5000"/>
              </w14:schemeClr>
            </w14:solidFill>
          </w14:textFill>
        </w:rPr>
      </w:pPr>
      <w:bookmarkStart w:id="128" w:name="_Toc21716"/>
      <w:r>
        <w:rPr>
          <w:rFonts w:hint="eastAsia" w:ascii="宋体" w:hAnsi="宋体" w:eastAsia="黑体"/>
          <w:b w:val="0"/>
          <w:bCs w:val="0"/>
          <w:color w:val="0D0D0D" w:themeColor="text1" w:themeTint="F2"/>
          <w:sz w:val="32"/>
          <w:szCs w:val="32"/>
          <w14:textFill>
            <w14:solidFill>
              <w14:schemeClr w14:val="tx1">
                <w14:lumMod w14:val="95000"/>
                <w14:lumOff w14:val="5000"/>
              </w14:schemeClr>
            </w14:solidFill>
          </w14:textFill>
        </w:rPr>
        <w:t>第十四章 健全规划实施机制，保障实现发展蓝图</w:t>
      </w:r>
      <w:bookmarkEnd w:id="128"/>
    </w:p>
    <w:p w14:paraId="1576C6F3">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坚持党的领导，进一步创新完善规划实施机制，充分发挥规划对资源配置的导向作用，加强和改善宏观调控，增强规划约束性，强化监督考评，确保规划有效实施。</w:t>
      </w:r>
    </w:p>
    <w:p w14:paraId="74B1B3CB">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29" w:name="_Toc2637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第一节 加强党的全面领导</w:t>
      </w:r>
      <w:bookmarkEnd w:id="129"/>
    </w:p>
    <w:p w14:paraId="40E2CD81">
      <w:pPr>
        <w:pStyle w:val="17"/>
        <w:adjustRightInd w:val="0"/>
        <w:snapToGrid w:val="0"/>
        <w:spacing w:after="0" w:line="600" w:lineRule="exact"/>
        <w:ind w:left="0" w:leftChars="0" w:firstLine="640"/>
        <w:rPr>
          <w:rFonts w:ascii="仿宋_GB2312" w:hAnsi="仿宋_GB2312" w:cs="仿宋_GB2312"/>
          <w:szCs w:val="32"/>
        </w:rPr>
      </w:pPr>
      <w:r>
        <w:rPr>
          <w:rFonts w:hint="eastAsia" w:ascii="宋体" w:hAnsi="宋体"/>
          <w:color w:val="0D0D0D" w:themeColor="text1" w:themeTint="F2"/>
          <w:szCs w:val="32"/>
          <w14:textFill>
            <w14:solidFill>
              <w14:schemeClr w14:val="tx1">
                <w14:lumMod w14:val="95000"/>
                <w14:lumOff w14:val="5000"/>
              </w14:schemeClr>
            </w14:solidFill>
          </w14:textFill>
        </w:rPr>
        <w:t>坚决贯彻落实党中央决策部署，始终保持政治定力和正确前进方向，把增强“四个意识”、坚定“四个自信”、做到“两个维护”体现到实际工作中、落实到具体行动上。发挥党总揽全局、协调各方的领导核心作用，切实加强党委领导经济工作的制度化建设，完善党委研究经济社会发展战略、定期分析经济形势、研究重大方针政策的工作机制，健全决策咨询机制，提高决策科学化水平。充分发挥各级党组织战斗堡垒作用和党员先锋模范作用，最大限度凝聚社会各界共识和力量，形成推动“十四五”规划实施的强大合力。</w:t>
      </w:r>
      <w:r>
        <w:rPr>
          <w:rFonts w:hint="eastAsia" w:ascii="仿宋_GB2312" w:hAnsi="仿宋_GB2312" w:cs="仿宋_GB2312"/>
          <w:szCs w:val="32"/>
        </w:rPr>
        <w:t>完善党和国家监察体系，推进纪律监督、监察监督、派驻监督、巡察监督统筹衔接，促进党委（党组）全面监督、纪检监察机关专责监督、党的工作机关职能监督、党的基层组织日常监督、党员民主监督有机结合。坚持以党内监督为主导，把党内监督和人大监督、民主监督、司法监督、群众监督、舆论监督紧密结合起来，把监督融入“十四五”规划实施全过程，融入区域治理、部门治理、行业治理、基层治理、单位治理之中，构建全覆盖的责任制度和监督制度，推动各类监督协调贯通，形成常态长效的监督合力。持之以恒落实中央八项规定精神，严防和纠正在推进规划实施过程中的形式主义、官僚主义问题。</w:t>
      </w:r>
    </w:p>
    <w:p w14:paraId="71C69EFC">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0" w:name="_Toc17947"/>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第二节 加强与上级规划衔接</w:t>
      </w:r>
      <w:bookmarkEnd w:id="130"/>
    </w:p>
    <w:p w14:paraId="49193EB8">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131" w:name="_Hlk55374280"/>
      <w:r>
        <w:rPr>
          <w:rFonts w:hint="eastAsia" w:ascii="宋体" w:hAnsi="宋体"/>
          <w:color w:val="0D0D0D" w:themeColor="text1" w:themeTint="F2"/>
          <w:szCs w:val="32"/>
          <w14:textFill>
            <w14:solidFill>
              <w14:schemeClr w14:val="tx1">
                <w14:lumMod w14:val="95000"/>
                <w14:lumOff w14:val="5000"/>
              </w14:schemeClr>
            </w14:solidFill>
          </w14:textFill>
        </w:rPr>
        <w:t>强化国民经济和社会发展总体规划的纲领性和指导性地位，切实贯彻总体规划的战略意图和主要任务，做好重点专项规划、区域规划与本级和上级总体规划的衔接与协调，确保空间配置协调、时序安排统一、总体目标一致，形成以国民经济和社会发展规划为统领，以主体功能区规划为基础，各类规划定位清晰、功能互补、统一协调的规划体系。</w:t>
      </w:r>
    </w:p>
    <w:bookmarkEnd w:id="131"/>
    <w:p w14:paraId="2CE35542">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2" w:name="_Toc8073"/>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第三节 增强规划实施要素保障</w:t>
      </w:r>
      <w:bookmarkEnd w:id="132"/>
    </w:p>
    <w:p w14:paraId="642D33D6">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133" w:name="_Hlk55374300"/>
      <w:r>
        <w:rPr>
          <w:rFonts w:hint="eastAsia" w:ascii="宋体" w:hAnsi="宋体"/>
          <w:color w:val="0D0D0D" w:themeColor="text1" w:themeTint="F2"/>
          <w:szCs w:val="32"/>
          <w14:textFill>
            <w14:solidFill>
              <w14:schemeClr w14:val="tx1">
                <w14:lumMod w14:val="95000"/>
                <w14:lumOff w14:val="5000"/>
              </w14:schemeClr>
            </w14:solidFill>
          </w14:textFill>
        </w:rPr>
        <w:t>加强资金、土地、能源及重要商品物资等要素对规划实施的保障作用。优化财政支出结构和政府投资结构，优先安排涉及民生、公共服务和城乡一体化等领域的财政支出和项目投入，集中财力保证政府投资重大项目的资金需求。</w:t>
      </w:r>
      <w:bookmarkEnd w:id="133"/>
      <w:r>
        <w:rPr>
          <w:rFonts w:hint="eastAsia" w:ascii="宋体" w:hAnsi="宋体"/>
          <w:color w:val="0D0D0D" w:themeColor="text1" w:themeTint="F2"/>
          <w:szCs w:val="32"/>
          <w14:textFill>
            <w14:solidFill>
              <w14:schemeClr w14:val="tx1">
                <w14:lumMod w14:val="95000"/>
                <w14:lumOff w14:val="5000"/>
              </w14:schemeClr>
            </w14:solidFill>
          </w14:textFill>
        </w:rPr>
        <w:t>科学调控土地供应，合理调整用地结构，优化土地资源配置和空间布局，优先保证保障性住房、重点发展平台开发、公共服务改善、重大基础设施和高端产业项目建设等方面的土地需求。注重需求侧管理和供给保障能力建设，完善能源和重要商品物资管理。</w:t>
      </w:r>
    </w:p>
    <w:p w14:paraId="578A92BC">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4" w:name="_Toc55420017"/>
      <w:bookmarkStart w:id="135" w:name="_Toc18460"/>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第四节</w:t>
      </w:r>
      <w:bookmarkEnd w:id="134"/>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 xml:space="preserve"> 合理布局重大项目工程</w:t>
      </w:r>
      <w:bookmarkEnd w:id="135"/>
    </w:p>
    <w:p w14:paraId="5350DA2B">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r>
        <w:rPr>
          <w:rFonts w:hint="eastAsia" w:ascii="宋体" w:hAnsi="宋体"/>
          <w:color w:val="0D0D0D" w:themeColor="text1" w:themeTint="F2"/>
          <w:szCs w:val="32"/>
          <w14:textFill>
            <w14:solidFill>
              <w14:schemeClr w14:val="tx1">
                <w14:lumMod w14:val="95000"/>
                <w14:lumOff w14:val="5000"/>
              </w14:schemeClr>
            </w14:solidFill>
          </w14:textFill>
        </w:rPr>
        <w:t>实施一批重大项目，优化重大项目投资行业结构和区域分布结构，加强重大项目落地和储备力度，按照“近期、中期、远期”三步走，将规划的重大项目具体落实到年度重点项目计划实施。健全我区重点项目储备库，</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十四五</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期间</w:t>
      </w:r>
      <w:r>
        <w:rPr>
          <w:rFonts w:ascii="宋体" w:hAnsi="宋体"/>
          <w:color w:val="0D0D0D" w:themeColor="text1" w:themeTint="F2"/>
          <w:szCs w:val="32"/>
          <w14:textFill>
            <w14:solidFill>
              <w14:schemeClr w14:val="tx1">
                <w14:lumMod w14:val="95000"/>
                <w14:lumOff w14:val="5000"/>
              </w14:schemeClr>
            </w14:solidFill>
          </w14:textFill>
        </w:rPr>
        <w:t>,</w:t>
      </w:r>
      <w:r>
        <w:rPr>
          <w:rFonts w:hint="eastAsia" w:ascii="宋体" w:hAnsi="宋体"/>
          <w:color w:val="0D0D0D" w:themeColor="text1" w:themeTint="F2"/>
          <w:szCs w:val="32"/>
          <w14:textFill>
            <w14:solidFill>
              <w14:schemeClr w14:val="tx1">
                <w14:lumMod w14:val="95000"/>
                <w14:lumOff w14:val="5000"/>
              </w14:schemeClr>
            </w14:solidFill>
          </w14:textFill>
        </w:rPr>
        <w:t>围绕科技创新、现代产业、交通运输、生态环境、水利、能源、公共服务等重点领域谋划重点项目。强化项目建设资金保障，做好项目用地、用林、用能、用水等要素保障，最大限度引导资金、土地等各类要素协同向重大项目、重大工程、重大平台等有效投资领域集聚。</w:t>
      </w:r>
    </w:p>
    <w:p w14:paraId="2D4838D8">
      <w:pPr>
        <w:adjustRightInd w:val="0"/>
        <w:snapToGrid w:val="0"/>
        <w:spacing w:before="300" w:beforeLines="50" w:after="300" w:afterLines="50" w:line="600" w:lineRule="exact"/>
        <w:jc w:val="center"/>
        <w:outlineLvl w:val="1"/>
        <w:rPr>
          <w:rFonts w:ascii="宋体" w:hAnsi="宋体" w:eastAsia="楷体_GB2312"/>
          <w:b/>
          <w:bCs/>
          <w:color w:val="0D0D0D" w:themeColor="text1" w:themeTint="F2"/>
          <w:kern w:val="0"/>
          <w:szCs w:val="32"/>
          <w14:textFill>
            <w14:solidFill>
              <w14:schemeClr w14:val="tx1">
                <w14:lumMod w14:val="95000"/>
                <w14:lumOff w14:val="5000"/>
              </w14:schemeClr>
            </w14:solidFill>
          </w14:textFill>
        </w:rPr>
      </w:pPr>
      <w:bookmarkStart w:id="136" w:name="_Toc9472"/>
      <w:r>
        <w:rPr>
          <w:rFonts w:hint="eastAsia" w:ascii="宋体" w:hAnsi="宋体" w:eastAsia="楷体_GB2312"/>
          <w:b/>
          <w:bCs/>
          <w:color w:val="0D0D0D" w:themeColor="text1" w:themeTint="F2"/>
          <w:kern w:val="0"/>
          <w:szCs w:val="32"/>
          <w14:textFill>
            <w14:solidFill>
              <w14:schemeClr w14:val="tx1">
                <w14:lumMod w14:val="95000"/>
                <w14:lumOff w14:val="5000"/>
              </w14:schemeClr>
            </w14:solidFill>
          </w14:textFill>
        </w:rPr>
        <w:t>第五节 建立健全规划监督考核机制</w:t>
      </w:r>
      <w:bookmarkEnd w:id="136"/>
    </w:p>
    <w:p w14:paraId="38C4104E">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bookmarkStart w:id="137" w:name="_Hlk55374321"/>
      <w:r>
        <w:rPr>
          <w:rFonts w:hint="eastAsia" w:ascii="宋体" w:hAnsi="宋体"/>
          <w:color w:val="0D0D0D" w:themeColor="text1" w:themeTint="F2"/>
          <w:szCs w:val="32"/>
          <w14:textFill>
            <w14:solidFill>
              <w14:schemeClr w14:val="tx1">
                <w14:lumMod w14:val="95000"/>
                <w14:lumOff w14:val="5000"/>
              </w14:schemeClr>
            </w14:solidFill>
          </w14:textFill>
        </w:rPr>
        <w:t>按照规划确定的发展目标、主要任务，制定规划年度实施方案，将规划确定的年度任务分解落实到各镇（街）、各部门，明确责任主体，逐年逐项落实目标任务。</w:t>
      </w:r>
      <w:bookmarkEnd w:id="137"/>
      <w:r>
        <w:rPr>
          <w:rFonts w:hint="eastAsia" w:ascii="宋体" w:hAnsi="宋体"/>
          <w:color w:val="0D0D0D" w:themeColor="text1" w:themeTint="F2"/>
          <w:szCs w:val="32"/>
          <w14:textFill>
            <w14:solidFill>
              <w14:schemeClr w14:val="tx1">
                <w14:lumMod w14:val="95000"/>
                <w14:lumOff w14:val="5000"/>
              </w14:schemeClr>
            </w14:solidFill>
          </w14:textFill>
        </w:rPr>
        <w:t>完善规划年度监督检查和中期评估制度，及时发现规划实施过程中出现的问题，依据评估结果和变化的发展环境，及时查找问题、解决问题。</w:t>
      </w:r>
      <w:bookmarkStart w:id="138" w:name="_Hlk55374332"/>
      <w:r>
        <w:rPr>
          <w:rFonts w:hint="eastAsia" w:ascii="宋体" w:hAnsi="宋体"/>
          <w:color w:val="0D0D0D" w:themeColor="text1" w:themeTint="F2"/>
          <w:szCs w:val="32"/>
          <w14:textFill>
            <w14:solidFill>
              <w14:schemeClr w14:val="tx1">
                <w14:lumMod w14:val="95000"/>
                <w14:lumOff w14:val="5000"/>
              </w14:schemeClr>
            </w14:solidFill>
          </w14:textFill>
        </w:rPr>
        <w:t>积极探索创新公众参与形式，拓宽公众参与渠道，完善规划实施的公众参与和民主监督机制，</w:t>
      </w:r>
      <w:bookmarkEnd w:id="138"/>
      <w:r>
        <w:rPr>
          <w:rFonts w:hint="eastAsia" w:ascii="宋体" w:hAnsi="宋体"/>
          <w:color w:val="0D0D0D" w:themeColor="text1" w:themeTint="F2"/>
          <w:szCs w:val="32"/>
          <w14:textFill>
            <w14:solidFill>
              <w14:schemeClr w14:val="tx1">
                <w14:lumMod w14:val="95000"/>
                <w14:lumOff w14:val="5000"/>
              </w14:schemeClr>
            </w14:solidFill>
          </w14:textFill>
        </w:rPr>
        <w:t>保障公众的知情权、参与权、表达权和监督权。及时公开规划实施的相关信息，接受全社会监督。</w:t>
      </w:r>
    </w:p>
    <w:p w14:paraId="737F9E20">
      <w:pPr>
        <w:pStyle w:val="17"/>
        <w:adjustRightInd w:val="0"/>
        <w:snapToGrid w:val="0"/>
        <w:spacing w:after="0" w:line="600" w:lineRule="exact"/>
        <w:ind w:left="0" w:leftChars="0" w:firstLine="640"/>
        <w:rPr>
          <w:rFonts w:ascii="宋体" w:hAnsi="宋体"/>
          <w:color w:val="0D0D0D" w:themeColor="text1" w:themeTint="F2"/>
          <w:szCs w:val="32"/>
          <w14:textFill>
            <w14:solidFill>
              <w14:schemeClr w14:val="tx1">
                <w14:lumMod w14:val="95000"/>
                <w14:lumOff w14:val="5000"/>
              </w14:schemeClr>
            </w14:solidFill>
          </w14:textFill>
        </w:rPr>
      </w:pPr>
    </w:p>
    <w:p w14:paraId="315327E4">
      <w:pPr>
        <w:adjustRightInd w:val="0"/>
        <w:snapToGrid w:val="0"/>
        <w:spacing w:line="600" w:lineRule="exact"/>
        <w:ind w:firstLine="790" w:firstLineChars="246"/>
        <w:jc w:val="left"/>
        <w:outlineLvl w:val="1"/>
        <w:rPr>
          <w:rFonts w:ascii="仿宋_GB2312" w:hAnsi="宋体"/>
          <w:b/>
          <w:bCs/>
          <w:color w:val="0D0D0D" w:themeColor="text1" w:themeTint="F2"/>
          <w:kern w:val="0"/>
          <w:szCs w:val="32"/>
          <w14:textFill>
            <w14:solidFill>
              <w14:schemeClr w14:val="tx1">
                <w14:lumMod w14:val="95000"/>
                <w14:lumOff w14:val="5000"/>
              </w14:schemeClr>
            </w14:solidFill>
          </w14:textFill>
        </w:rPr>
      </w:pPr>
      <w:bookmarkStart w:id="139" w:name="_Toc27371"/>
      <w:bookmarkStart w:id="140" w:name="_Toc59714802"/>
      <w:r>
        <w:rPr>
          <w:rFonts w:hint="eastAsia" w:ascii="仿宋_GB2312" w:hAnsi="宋体"/>
          <w:b/>
          <w:bCs/>
          <w:color w:val="0D0D0D" w:themeColor="text1" w:themeTint="F2"/>
          <w:kern w:val="0"/>
          <w:szCs w:val="32"/>
          <w14:textFill>
            <w14:solidFill>
              <w14:schemeClr w14:val="tx1">
                <w14:lumMod w14:val="95000"/>
                <w14:lumOff w14:val="5000"/>
              </w14:schemeClr>
            </w14:solidFill>
          </w14:textFill>
        </w:rPr>
        <w:t>附件：1.云城区“十四五”规划纲要名词注释</w:t>
      </w:r>
      <w:bookmarkEnd w:id="139"/>
    </w:p>
    <w:p w14:paraId="15B4220C">
      <w:pPr>
        <w:adjustRightInd w:val="0"/>
        <w:snapToGrid w:val="0"/>
        <w:spacing w:line="600" w:lineRule="exact"/>
        <w:ind w:firstLine="1796" w:firstLineChars="559"/>
        <w:jc w:val="left"/>
        <w:outlineLvl w:val="1"/>
        <w:rPr>
          <w:rFonts w:ascii="仿宋_GB2312" w:hAnsi="宋体"/>
          <w:b/>
          <w:bCs/>
          <w:color w:val="0D0D0D" w:themeColor="text1" w:themeTint="F2"/>
          <w:kern w:val="0"/>
          <w:szCs w:val="32"/>
          <w14:textFill>
            <w14:solidFill>
              <w14:schemeClr w14:val="tx1">
                <w14:lumMod w14:val="95000"/>
                <w14:lumOff w14:val="5000"/>
              </w14:schemeClr>
            </w14:solidFill>
          </w14:textFill>
        </w:rPr>
      </w:pPr>
      <w:bookmarkStart w:id="141" w:name="_Toc8724"/>
      <w:r>
        <w:rPr>
          <w:rFonts w:hint="eastAsia" w:ascii="仿宋_GB2312" w:hAnsi="宋体"/>
          <w:b/>
          <w:bCs/>
          <w:color w:val="0D0D0D" w:themeColor="text1" w:themeTint="F2"/>
          <w:kern w:val="0"/>
          <w:szCs w:val="32"/>
          <w14:textFill>
            <w14:solidFill>
              <w14:schemeClr w14:val="tx1">
                <w14:lumMod w14:val="95000"/>
                <w14:lumOff w14:val="5000"/>
              </w14:schemeClr>
            </w14:solidFill>
          </w14:textFill>
        </w:rPr>
        <w:t>2.云城区“十四五”规划重大项目表</w:t>
      </w:r>
      <w:bookmarkEnd w:id="140"/>
      <w:bookmarkEnd w:id="141"/>
    </w:p>
    <w:p w14:paraId="700AD8ED">
      <w:pPr>
        <w:pStyle w:val="17"/>
        <w:spacing w:line="600" w:lineRule="exact"/>
        <w:ind w:left="0" w:leftChars="0" w:firstLine="0" w:firstLineChars="0"/>
        <w:rPr>
          <w:rFonts w:ascii="宋体" w:hAnsi="宋体"/>
          <w:color w:val="0D0D0D" w:themeColor="text1" w:themeTint="F2"/>
          <w14:textFill>
            <w14:solidFill>
              <w14:schemeClr w14:val="tx1">
                <w14:lumMod w14:val="95000"/>
                <w14:lumOff w14:val="5000"/>
              </w14:schemeClr>
            </w14:solidFill>
          </w14:textFill>
        </w:rPr>
        <w:sectPr>
          <w:footerReference r:id="rId5" w:type="default"/>
          <w:pgSz w:w="11906" w:h="16838"/>
          <w:pgMar w:top="1418" w:right="1588" w:bottom="1418" w:left="1588" w:header="851" w:footer="992" w:gutter="0"/>
          <w:pgNumType w:start="1"/>
          <w:cols w:space="425" w:num="1"/>
          <w:docGrid w:type="lines" w:linePitch="600" w:charSpace="0"/>
        </w:sectPr>
      </w:pPr>
    </w:p>
    <w:p w14:paraId="2F74DBF7">
      <w:pPr>
        <w:spacing w:line="600" w:lineRule="exact"/>
        <w:jc w:val="left"/>
        <w:rPr>
          <w:rFonts w:ascii="宋体" w:hAnsi="宋体" w:eastAsia="黑体"/>
          <w:color w:val="0D0D0D" w:themeColor="text1" w:themeTint="F2"/>
          <w:szCs w:val="22"/>
          <w14:textFill>
            <w14:solidFill>
              <w14:schemeClr w14:val="tx1">
                <w14:lumMod w14:val="95000"/>
                <w14:lumOff w14:val="5000"/>
              </w14:schemeClr>
            </w14:solidFill>
          </w14:textFill>
        </w:rPr>
      </w:pPr>
      <w:r>
        <w:rPr>
          <w:rFonts w:hint="eastAsia" w:ascii="仿宋_GB2312" w:hAnsi="宋体"/>
          <w:bCs/>
          <w:color w:val="0D0D0D" w:themeColor="text1" w:themeTint="F2"/>
          <w:kern w:val="0"/>
          <w:szCs w:val="32"/>
          <w14:textFill>
            <w14:solidFill>
              <w14:schemeClr w14:val="tx1">
                <w14:lumMod w14:val="95000"/>
                <w14:lumOff w14:val="5000"/>
              </w14:schemeClr>
            </w14:solidFill>
          </w14:textFill>
        </w:rPr>
        <w:t>附件</w:t>
      </w:r>
      <w:r>
        <w:rPr>
          <w:rFonts w:hint="eastAsia" w:ascii="宋体" w:hAnsi="宋体" w:eastAsia="黑体"/>
          <w:color w:val="0D0D0D" w:themeColor="text1" w:themeTint="F2"/>
          <w:szCs w:val="22"/>
          <w14:textFill>
            <w14:solidFill>
              <w14:schemeClr w14:val="tx1">
                <w14:lumMod w14:val="95000"/>
                <w14:lumOff w14:val="5000"/>
              </w14:schemeClr>
            </w14:solidFill>
          </w14:textFill>
        </w:rPr>
        <w:t>1</w:t>
      </w:r>
    </w:p>
    <w:p w14:paraId="4950CD70">
      <w:pPr>
        <w:spacing w:line="760" w:lineRule="exact"/>
        <w:jc w:val="center"/>
        <w:rPr>
          <w:rFonts w:ascii="宋体" w:hAnsi="宋体" w:eastAsia="黑体"/>
          <w:color w:val="0D0D0D" w:themeColor="text1" w:themeTint="F2"/>
          <w:szCs w:val="22"/>
          <w14:textFill>
            <w14:solidFill>
              <w14:schemeClr w14:val="tx1">
                <w14:lumMod w14:val="95000"/>
                <w14:lumOff w14:val="5000"/>
              </w14:schemeClr>
            </w14:solidFill>
          </w14:textFill>
        </w:rPr>
      </w:pPr>
      <w:r>
        <w:rPr>
          <w:rFonts w:hint="eastAsia" w:ascii="宋体" w:hAnsi="宋体" w:eastAsia="黑体"/>
          <w:color w:val="0D0D0D" w:themeColor="text1" w:themeTint="F2"/>
          <w:szCs w:val="22"/>
          <w14:textFill>
            <w14:solidFill>
              <w14:schemeClr w14:val="tx1">
                <w14:lumMod w14:val="95000"/>
                <w14:lumOff w14:val="5000"/>
              </w14:schemeClr>
            </w14:solidFill>
          </w14:textFill>
        </w:rPr>
        <w:t>云城区“十四五”规划纲要名词注释</w:t>
      </w:r>
    </w:p>
    <w:p w14:paraId="78E5C646">
      <w:pPr>
        <w:ind w:firstLine="640"/>
      </w:pPr>
    </w:p>
    <w:p w14:paraId="38DACB7B">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1.“三张清单”管理：</w:t>
      </w:r>
      <w:r>
        <w:rPr>
          <w:rFonts w:hint="eastAsia" w:ascii="宋体" w:hAnsi="宋体"/>
          <w:color w:val="0D0D0D" w:themeColor="text1" w:themeTint="F2"/>
          <w:szCs w:val="22"/>
          <w14:textFill>
            <w14:solidFill>
              <w14:schemeClr w14:val="tx1">
                <w14:lumMod w14:val="95000"/>
                <w14:lumOff w14:val="5000"/>
              </w14:schemeClr>
            </w14:solidFill>
          </w14:textFill>
        </w:rPr>
        <w:t>“权力清单”“责任清单”和“负面清单”。</w:t>
      </w:r>
    </w:p>
    <w:p w14:paraId="672ACF9A">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2.三去一降一补：</w:t>
      </w:r>
      <w:r>
        <w:rPr>
          <w:rFonts w:hint="eastAsia" w:ascii="宋体" w:hAnsi="宋体"/>
          <w:color w:val="0D0D0D" w:themeColor="text1" w:themeTint="F2"/>
          <w:szCs w:val="22"/>
          <w14:textFill>
            <w14:solidFill>
              <w14:schemeClr w14:val="tx1">
                <w14:lumMod w14:val="95000"/>
                <w14:lumOff w14:val="5000"/>
              </w14:schemeClr>
            </w14:solidFill>
          </w14:textFill>
        </w:rPr>
        <w:t>即去产能、去库存、去杠杆、降成本、补短板五大任务。</w:t>
      </w:r>
    </w:p>
    <w:p w14:paraId="78A55864">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3.“六乱”现象整治：</w:t>
      </w:r>
      <w:r>
        <w:rPr>
          <w:rFonts w:hint="eastAsia" w:ascii="宋体" w:hAnsi="宋体"/>
          <w:color w:val="0D0D0D" w:themeColor="text1" w:themeTint="F2"/>
          <w:szCs w:val="22"/>
          <w14:textFill>
            <w14:solidFill>
              <w14:schemeClr w14:val="tx1">
                <w14:lumMod w14:val="95000"/>
                <w14:lumOff w14:val="5000"/>
              </w14:schemeClr>
            </w14:solidFill>
          </w14:textFill>
        </w:rPr>
        <w:t>乱丢（扔）、乱倒、乱吐、乱贴（画）、乱停、乱放。</w:t>
      </w:r>
    </w:p>
    <w:p w14:paraId="1F1FE523">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4.“三清三拆三整治”：</w:t>
      </w:r>
      <w:r>
        <w:rPr>
          <w:rFonts w:hint="eastAsia" w:ascii="宋体" w:hAnsi="宋体"/>
          <w:color w:val="0D0D0D" w:themeColor="text1" w:themeTint="F2"/>
          <w:szCs w:val="22"/>
          <w14:textFill>
            <w14:solidFill>
              <w14:schemeClr w14:val="tx1">
                <w14:lumMod w14:val="95000"/>
                <w14:lumOff w14:val="5000"/>
              </w14:schemeClr>
            </w14:solidFill>
          </w14:textFill>
        </w:rPr>
        <w:t>“三清”即重点清理村巷道及生产工具、建筑材料乱堆乱放；清理房前屋后和村巷道杂草杂物、积存垃圾；清理沟渠池塘溪河淤泥、漂浮物和障碍物。“三拆”包括拆除危旧房、废弃猪牛栏及露天厕所茅房；拆除乱搭乱建、违章建筑；拆除非法违规商业广告、招牌等。“三整治”包括整治垃圾、整治污水、整治畜禽污染。</w:t>
      </w:r>
    </w:p>
    <w:p w14:paraId="27B82467">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5.“河长制”：</w:t>
      </w:r>
      <w:r>
        <w:rPr>
          <w:rFonts w:hint="eastAsia" w:ascii="宋体" w:hAnsi="宋体"/>
          <w:color w:val="0D0D0D" w:themeColor="text1" w:themeTint="F2"/>
          <w:szCs w:val="22"/>
          <w14:textFill>
            <w14:solidFill>
              <w14:schemeClr w14:val="tx1">
                <w14:lumMod w14:val="95000"/>
                <w14:lumOff w14:val="5000"/>
              </w14:schemeClr>
            </w14:solidFill>
          </w14:textFill>
        </w:rPr>
        <w:t>即由各级党政主要负责人担任“河长”，负责组织领导相应河湖的管理和保护工作。</w:t>
      </w:r>
    </w:p>
    <w:p w14:paraId="6741D905">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6.“清四乱”：</w:t>
      </w:r>
      <w:r>
        <w:rPr>
          <w:rFonts w:hint="eastAsia" w:ascii="宋体" w:hAnsi="宋体"/>
          <w:color w:val="0D0D0D" w:themeColor="text1" w:themeTint="F2"/>
          <w:szCs w:val="22"/>
          <w14:textFill>
            <w14:solidFill>
              <w14:schemeClr w14:val="tx1">
                <w14:lumMod w14:val="95000"/>
                <w14:lumOff w14:val="5000"/>
              </w14:schemeClr>
            </w14:solidFill>
          </w14:textFill>
        </w:rPr>
        <w:t>乱占、乱采、乱堆、乱建。</w:t>
      </w:r>
    </w:p>
    <w:p w14:paraId="778243EC">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7.“五清”：</w:t>
      </w:r>
      <w:r>
        <w:rPr>
          <w:rFonts w:hint="eastAsia" w:ascii="宋体" w:hAnsi="宋体"/>
          <w:color w:val="0D0D0D" w:themeColor="text1" w:themeTint="F2"/>
          <w:szCs w:val="22"/>
          <w14:textFill>
            <w14:solidFill>
              <w14:schemeClr w14:val="tx1">
                <w14:lumMod w14:val="95000"/>
                <w14:lumOff w14:val="5000"/>
              </w14:schemeClr>
            </w14:solidFill>
          </w14:textFill>
        </w:rPr>
        <w:t>清污（清理非法排污口）清源（清理水面漂浮物）、清淤（清理底泥污染物）、清障（清理河湖障碍物）、清违（清理涉河湖违法违建）。</w:t>
      </w:r>
    </w:p>
    <w:p w14:paraId="0F3EA1AF">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8.“双区”：</w:t>
      </w:r>
      <w:r>
        <w:rPr>
          <w:rFonts w:hint="eastAsia" w:ascii="宋体" w:hAnsi="宋体"/>
          <w:color w:val="0D0D0D" w:themeColor="text1" w:themeTint="F2"/>
          <w:szCs w:val="22"/>
          <w14:textFill>
            <w14:solidFill>
              <w14:schemeClr w14:val="tx1">
                <w14:lumMod w14:val="95000"/>
                <w14:lumOff w14:val="5000"/>
              </w14:schemeClr>
            </w14:solidFill>
          </w14:textFill>
        </w:rPr>
        <w:t>粤港澳大湾区、深圳设中国特色社会主义先行示范区。</w:t>
      </w:r>
    </w:p>
    <w:p w14:paraId="7434F2CF">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9.“四个走在全国前列”：</w:t>
      </w:r>
      <w:r>
        <w:rPr>
          <w:rFonts w:hint="eastAsia" w:ascii="宋体" w:hAnsi="宋体"/>
          <w:color w:val="0D0D0D" w:themeColor="text1" w:themeTint="F2"/>
          <w:szCs w:val="22"/>
          <w14:textFill>
            <w14:solidFill>
              <w14:schemeClr w14:val="tx1">
                <w14:lumMod w14:val="95000"/>
                <w14:lumOff w14:val="5000"/>
              </w14:schemeClr>
            </w14:solidFill>
          </w14:textFill>
        </w:rPr>
        <w:t>广东省在构建推动经济高质量发展体制机制、建设现代化经济体系、形成全面开放新格局、营造共建共治共享社会治理格局上走在全国前列。</w:t>
      </w:r>
    </w:p>
    <w:p w14:paraId="43315F98">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10</w:t>
      </w:r>
      <w:r>
        <w:rPr>
          <w:rFonts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b/>
          <w:color w:val="0D0D0D" w:themeColor="text1" w:themeTint="F2"/>
          <w:szCs w:val="22"/>
          <w14:textFill>
            <w14:solidFill>
              <w14:schemeClr w14:val="tx1">
                <w14:lumMod w14:val="95000"/>
                <w14:lumOff w14:val="5000"/>
              </w14:schemeClr>
            </w14:solidFill>
          </w14:textFill>
        </w:rPr>
        <w:t>“两个重要窗口”：</w:t>
      </w:r>
      <w:r>
        <w:rPr>
          <w:rFonts w:hint="eastAsia" w:ascii="宋体" w:hAnsi="宋体"/>
          <w:color w:val="0D0D0D" w:themeColor="text1" w:themeTint="F2"/>
          <w:szCs w:val="22"/>
          <w14:textFill>
            <w14:solidFill>
              <w14:schemeClr w14:val="tx1">
                <w14:lumMod w14:val="95000"/>
                <w14:lumOff w14:val="5000"/>
              </w14:schemeClr>
            </w14:solidFill>
          </w14:textFill>
        </w:rPr>
        <w:t>广东省既是向世界展示我国改革开放成就的重要窗口，也是国际社会观察我国改革开放的重要窗口。</w:t>
      </w:r>
    </w:p>
    <w:p w14:paraId="6E9F0650">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11.“</w:t>
      </w:r>
      <w:r>
        <w:rPr>
          <w:rFonts w:ascii="宋体" w:hAnsi="宋体"/>
          <w:b/>
          <w:color w:val="0D0D0D" w:themeColor="text1" w:themeTint="F2"/>
          <w:szCs w:val="22"/>
          <w14:textFill>
            <w14:solidFill>
              <w14:schemeClr w14:val="tx1">
                <w14:lumMod w14:val="95000"/>
                <w14:lumOff w14:val="5000"/>
              </w14:schemeClr>
            </w14:solidFill>
          </w14:textFill>
        </w:rPr>
        <w:t>4321”重点工程</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聚焦推进新型城镇化建设、打造粤北生态建设发展新高地、构建基层公共卫生体系、创建国家中医药产业发展基地“四大引擎”，提升中心城区首位度、县城“四提”补短板、“美丽圩镇”创建“三大行动”，面上保护与点上开发“两个方面”，水这“一篇文章”。</w:t>
      </w:r>
    </w:p>
    <w:p w14:paraId="2146F4DE">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12.省委“</w:t>
      </w:r>
      <w:r>
        <w:rPr>
          <w:rFonts w:ascii="宋体" w:hAnsi="宋体"/>
          <w:b/>
          <w:color w:val="0D0D0D" w:themeColor="text1" w:themeTint="F2"/>
          <w:szCs w:val="22"/>
          <w14:textFill>
            <w14:solidFill>
              <w14:schemeClr w14:val="tx1">
                <w14:lumMod w14:val="95000"/>
                <w14:lumOff w14:val="5000"/>
              </w14:schemeClr>
            </w14:solidFill>
          </w14:textFill>
        </w:rPr>
        <w:t>1+1+9”工作部署</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第一个“</w:t>
      </w:r>
      <w:r>
        <w:rPr>
          <w:rFonts w:ascii="宋体" w:hAnsi="宋体"/>
          <w:color w:val="0D0D0D" w:themeColor="text1" w:themeTint="F2"/>
          <w:szCs w:val="22"/>
          <w14:textFill>
            <w14:solidFill>
              <w14:schemeClr w14:val="tx1">
                <w14:lumMod w14:val="95000"/>
                <w14:lumOff w14:val="5000"/>
              </w14:schemeClr>
            </w14:solidFill>
          </w14:textFill>
        </w:rPr>
        <w:t>1”是指以推进党的建设新的伟大工程为政治保证；</w:t>
      </w:r>
      <w:r>
        <w:rPr>
          <w:rFonts w:hint="eastAsia" w:ascii="宋体" w:hAnsi="宋体"/>
          <w:color w:val="0D0D0D" w:themeColor="text1" w:themeTint="F2"/>
          <w:szCs w:val="22"/>
          <w14:textFill>
            <w14:solidFill>
              <w14:schemeClr w14:val="tx1">
                <w14:lumMod w14:val="95000"/>
                <w14:lumOff w14:val="5000"/>
              </w14:schemeClr>
            </w14:solidFill>
          </w14:textFill>
        </w:rPr>
        <w:t>第二个“</w:t>
      </w:r>
      <w:r>
        <w:rPr>
          <w:rFonts w:ascii="宋体" w:hAnsi="宋体"/>
          <w:color w:val="0D0D0D" w:themeColor="text1" w:themeTint="F2"/>
          <w:szCs w:val="22"/>
          <w14:textFill>
            <w14:solidFill>
              <w14:schemeClr w14:val="tx1">
                <w14:lumMod w14:val="95000"/>
                <w14:lumOff w14:val="5000"/>
              </w14:schemeClr>
            </w14:solidFill>
          </w14:textFill>
        </w:rPr>
        <w:t>1”是指以全面深化改革开放为发展主动力。</w:t>
      </w:r>
      <w:r>
        <w:rPr>
          <w:rFonts w:hint="eastAsia" w:ascii="宋体" w:hAnsi="宋体"/>
          <w:color w:val="0D0D0D" w:themeColor="text1" w:themeTint="F2"/>
          <w:szCs w:val="22"/>
          <w14:textFill>
            <w14:solidFill>
              <w14:schemeClr w14:val="tx1">
                <w14:lumMod w14:val="95000"/>
                <w14:lumOff w14:val="5000"/>
              </w14:schemeClr>
            </w14:solidFill>
          </w14:textFill>
        </w:rPr>
        <w:t>“</w:t>
      </w:r>
      <w:r>
        <w:rPr>
          <w:rFonts w:ascii="宋体" w:hAnsi="宋体"/>
          <w:color w:val="0D0D0D" w:themeColor="text1" w:themeTint="F2"/>
          <w:szCs w:val="22"/>
          <w14:textFill>
            <w14:solidFill>
              <w14:schemeClr w14:val="tx1">
                <w14:lumMod w14:val="95000"/>
                <w14:lumOff w14:val="5000"/>
              </w14:schemeClr>
            </w14:solidFill>
          </w14:textFill>
        </w:rPr>
        <w:t>9”是指9个方面重点工作</w:t>
      </w:r>
      <w:r>
        <w:rPr>
          <w:rFonts w:hint="eastAsia" w:ascii="宋体" w:hAnsi="宋体"/>
          <w:color w:val="0D0D0D" w:themeColor="text1" w:themeTint="F2"/>
          <w:szCs w:val="22"/>
          <w14:textFill>
            <w14:solidFill>
              <w14:schemeClr w14:val="tx1">
                <w14:lumMod w14:val="95000"/>
                <w14:lumOff w14:val="5000"/>
              </w14:schemeClr>
            </w14:solidFill>
          </w14:textFill>
        </w:rPr>
        <w:t>——加快形成全面开放新格局、加快建设科技创新强省、加快构建推动经济高质量发展的体制机制、加快建设现代化经济体系、加快改变广东农村落后面貌、加快推动区域协调发展、加快建设文化强省、加快营造共建共治共享的社会治理格局、加快补齐全面建成小康社会、跨越高质量发展重大关口的短板。</w:t>
      </w:r>
    </w:p>
    <w:p w14:paraId="7F9F5964">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13.区委“五大工程”“六大重点”工作部署：</w:t>
      </w:r>
      <w:r>
        <w:rPr>
          <w:rFonts w:hint="eastAsia" w:ascii="宋体" w:hAnsi="宋体"/>
          <w:color w:val="0D0D0D" w:themeColor="text1" w:themeTint="F2"/>
          <w:szCs w:val="22"/>
          <w14:textFill>
            <w14:solidFill>
              <w14:schemeClr w14:val="tx1">
                <w14:lumMod w14:val="95000"/>
                <w14:lumOff w14:val="5000"/>
              </w14:schemeClr>
            </w14:solidFill>
          </w14:textFill>
        </w:rPr>
        <w:t>提升中心城区首位度、经济高质量发展、乡村振兴、民生事业全面进步、平安保障“五大工程”；大交通、大项目、大农业、大健康、大旅游、大创新“六大重点”工作。</w:t>
      </w:r>
    </w:p>
    <w:p w14:paraId="581F0863">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14.“双循环”新发展格局：</w:t>
      </w:r>
      <w:r>
        <w:rPr>
          <w:rFonts w:hint="eastAsia" w:ascii="宋体" w:hAnsi="宋体"/>
          <w:color w:val="0D0D0D" w:themeColor="text1" w:themeTint="F2"/>
          <w:szCs w:val="22"/>
          <w14:textFill>
            <w14:solidFill>
              <w14:schemeClr w14:val="tx1">
                <w14:lumMod w14:val="95000"/>
                <w14:lumOff w14:val="5000"/>
              </w14:schemeClr>
            </w14:solidFill>
          </w14:textFill>
        </w:rPr>
        <w:t>以国内大循环为主体、国内国际双循环相互促进。</w:t>
      </w:r>
    </w:p>
    <w:p w14:paraId="49C04EAB">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15.“一核一带一区”：</w:t>
      </w:r>
      <w:r>
        <w:rPr>
          <w:rFonts w:hint="eastAsia" w:ascii="宋体" w:hAnsi="宋体"/>
          <w:color w:val="0D0D0D" w:themeColor="text1" w:themeTint="F2"/>
          <w:szCs w:val="22"/>
          <w14:textFill>
            <w14:solidFill>
              <w14:schemeClr w14:val="tx1">
                <w14:lumMod w14:val="95000"/>
                <w14:lumOff w14:val="5000"/>
              </w14:schemeClr>
            </w14:solidFill>
          </w14:textFill>
        </w:rPr>
        <w:t>珠三角核心区、沿海经济带、北部生态发展区。</w:t>
      </w:r>
    </w:p>
    <w:p w14:paraId="7FF12EBD">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16.“</w:t>
      </w:r>
      <w:r>
        <w:rPr>
          <w:rFonts w:ascii="宋体" w:hAnsi="宋体"/>
          <w:b/>
          <w:color w:val="0D0D0D" w:themeColor="text1" w:themeTint="F2"/>
          <w:szCs w:val="22"/>
          <w14:textFill>
            <w14:solidFill>
              <w14:schemeClr w14:val="tx1">
                <w14:lumMod w14:val="95000"/>
                <w14:lumOff w14:val="5000"/>
              </w14:schemeClr>
            </w14:solidFill>
          </w14:textFill>
        </w:rPr>
        <w:t>R&amp;D经费</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全社会研究与试验发展经费。</w:t>
      </w:r>
    </w:p>
    <w:p w14:paraId="3C40BAA9">
      <w:pPr>
        <w:spacing w:line="600" w:lineRule="exact"/>
        <w:ind w:firstLine="643" w:firstLineChars="200"/>
        <w:rPr>
          <w:rFonts w:ascii="宋体" w:hAnsi="宋体"/>
          <w:szCs w:val="22"/>
        </w:rPr>
      </w:pPr>
      <w:r>
        <w:rPr>
          <w:rFonts w:hint="eastAsia" w:ascii="宋体" w:hAnsi="宋体"/>
          <w:b/>
          <w:color w:val="0D0D0D" w:themeColor="text1" w:themeTint="F2"/>
          <w:szCs w:val="22"/>
          <w14:textFill>
            <w14:solidFill>
              <w14:schemeClr w14:val="tx1">
                <w14:lumMod w14:val="95000"/>
                <w14:lumOff w14:val="5000"/>
              </w14:schemeClr>
            </w14:solidFill>
          </w14:textFill>
        </w:rPr>
        <w:t>17.“</w:t>
      </w:r>
      <w:r>
        <w:rPr>
          <w:rFonts w:hint="eastAsia" w:ascii="宋体" w:hAnsi="宋体"/>
          <w:b/>
          <w:szCs w:val="22"/>
        </w:rPr>
        <w:t>大师经济”：</w:t>
      </w:r>
      <w:r>
        <w:rPr>
          <w:rFonts w:hint="eastAsia" w:ascii="宋体" w:hAnsi="宋体"/>
          <w:szCs w:val="22"/>
        </w:rPr>
        <w:t>建设一批石材工艺美术大师工作室、技能大师工作室，推动石材工艺创造性转化、创新性发展。</w:t>
      </w:r>
    </w:p>
    <w:p w14:paraId="33837A4E">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szCs w:val="22"/>
        </w:rPr>
        <w:t>18.“美丽经济”</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生态优势转化成经济优势。</w:t>
      </w:r>
    </w:p>
    <w:p w14:paraId="1F4D5F2B">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19.“高铁进城”：</w:t>
      </w:r>
      <w:r>
        <w:rPr>
          <w:rFonts w:hint="eastAsia" w:ascii="宋体" w:hAnsi="宋体"/>
          <w:color w:val="0D0D0D" w:themeColor="text1" w:themeTint="F2"/>
          <w:szCs w:val="22"/>
          <w14:textFill>
            <w14:solidFill>
              <w14:schemeClr w14:val="tx1">
                <w14:lumMod w14:val="95000"/>
                <w14:lumOff w14:val="5000"/>
              </w14:schemeClr>
            </w14:solidFill>
          </w14:textFill>
        </w:rPr>
        <w:t>高铁站建于城市中心。</w:t>
      </w:r>
    </w:p>
    <w:p w14:paraId="19490F00">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20.“雁阵布局”：</w:t>
      </w:r>
      <w:r>
        <w:rPr>
          <w:rFonts w:hint="eastAsia" w:ascii="宋体" w:hAnsi="宋体"/>
          <w:color w:val="0D0D0D" w:themeColor="text1" w:themeTint="F2"/>
          <w:szCs w:val="22"/>
          <w14:textFill>
            <w14:solidFill>
              <w14:schemeClr w14:val="tx1">
                <w14:lumMod w14:val="95000"/>
                <w14:lumOff w14:val="5000"/>
              </w14:schemeClr>
            </w14:solidFill>
          </w14:textFill>
        </w:rPr>
        <w:t>通过产业转移，形成有梯度的产业分级，各自形成比较优势。</w:t>
      </w:r>
    </w:p>
    <w:p w14:paraId="63413DB6">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21.“小店经济”“舌尖经济”“宅经济”：</w:t>
      </w:r>
      <w:r>
        <w:rPr>
          <w:rFonts w:hint="eastAsia" w:ascii="宋体" w:hAnsi="宋体"/>
          <w:color w:val="0D0D0D" w:themeColor="text1" w:themeTint="F2"/>
          <w:szCs w:val="22"/>
          <w14:textFill>
            <w14:solidFill>
              <w14:schemeClr w14:val="tx1">
                <w14:lumMod w14:val="95000"/>
                <w14:lumOff w14:val="5000"/>
              </w14:schemeClr>
            </w14:solidFill>
          </w14:textFill>
        </w:rPr>
        <w:t>小店经济是指由众多小店形成促进大众就业、服务改善民生、驱动多元化消费的经济形态；舌尖经济即与“吃”有关的创业创新；宅经济指人们在家中进行的一系列消费活动。</w:t>
      </w:r>
    </w:p>
    <w:p w14:paraId="77602B96">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22.“外资十条”：</w:t>
      </w:r>
      <w:r>
        <w:rPr>
          <w:rFonts w:hint="eastAsia" w:ascii="宋体" w:hAnsi="宋体"/>
          <w:color w:val="0D0D0D" w:themeColor="text1" w:themeTint="F2"/>
          <w:szCs w:val="22"/>
          <w14:textFill>
            <w14:solidFill>
              <w14:schemeClr w14:val="tx1">
                <w14:lumMod w14:val="95000"/>
                <w14:lumOff w14:val="5000"/>
              </w14:schemeClr>
            </w14:solidFill>
          </w14:textFill>
        </w:rPr>
        <w:t>《广东省进一步扩大对外开放积极利用外资若干政策措施（修订版）》。</w:t>
      </w:r>
    </w:p>
    <w:p w14:paraId="7B5C1093">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23.“总部经济”：</w:t>
      </w:r>
      <w:r>
        <w:rPr>
          <w:rFonts w:hint="eastAsia" w:ascii="宋体" w:hAnsi="宋体"/>
          <w:color w:val="0D0D0D" w:themeColor="text1" w:themeTint="F2"/>
          <w:szCs w:val="22"/>
          <w14:textFill>
            <w14:solidFill>
              <w14:schemeClr w14:val="tx1">
                <w14:lumMod w14:val="95000"/>
                <w14:lumOff w14:val="5000"/>
              </w14:schemeClr>
            </w14:solidFill>
          </w14:textFill>
        </w:rPr>
        <w:t>吸引企业总部集群布局，形成总部集聚效应，并通过“总部——制造基地”功能链条辐射带动生产制造基地所在区域发展，由此实现不同区域分工协作、资源优化配置的一种经济形态。</w:t>
      </w:r>
    </w:p>
    <w:p w14:paraId="3E408168">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24.“四大所”“五大行”：</w:t>
      </w:r>
      <w:r>
        <w:rPr>
          <w:rFonts w:hint="eastAsia" w:ascii="宋体" w:hAnsi="宋体"/>
          <w:color w:val="0D0D0D" w:themeColor="text1" w:themeTint="F2"/>
          <w:szCs w:val="22"/>
          <w14:textFill>
            <w14:solidFill>
              <w14:schemeClr w14:val="tx1">
                <w14:lumMod w14:val="95000"/>
                <w14:lumOff w14:val="5000"/>
              </w14:schemeClr>
            </w14:solidFill>
          </w14:textFill>
        </w:rPr>
        <w:t>德勤</w:t>
      </w:r>
      <w:r>
        <w:rPr>
          <w:rFonts w:ascii="宋体" w:hAnsi="宋体"/>
          <w:color w:val="0D0D0D" w:themeColor="text1" w:themeTint="F2"/>
          <w:szCs w:val="22"/>
          <w14:textFill>
            <w14:solidFill>
              <w14:schemeClr w14:val="tx1">
                <w14:lumMod w14:val="95000"/>
                <w14:lumOff w14:val="5000"/>
              </w14:schemeClr>
            </w14:solidFill>
          </w14:textFill>
        </w:rPr>
        <w:t>、普华永道、毕马威、安永</w:t>
      </w:r>
      <w:r>
        <w:rPr>
          <w:rFonts w:hint="eastAsia" w:ascii="宋体" w:hAnsi="宋体"/>
          <w:color w:val="0D0D0D" w:themeColor="text1" w:themeTint="F2"/>
          <w:szCs w:val="22"/>
          <w14:textFill>
            <w14:solidFill>
              <w14:schemeClr w14:val="tx1">
                <w14:lumMod w14:val="95000"/>
                <w14:lumOff w14:val="5000"/>
              </w14:schemeClr>
            </w14:solidFill>
          </w14:textFill>
        </w:rPr>
        <w:t>四大所；工商银行、建设银行、中国银行、农业银行和交通银行“五大行”。</w:t>
      </w:r>
    </w:p>
    <w:p w14:paraId="02F242CB">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25.“草根创新”：</w:t>
      </w:r>
      <w:r>
        <w:rPr>
          <w:rFonts w:hint="eastAsia" w:ascii="宋体" w:hAnsi="宋体"/>
          <w:color w:val="0D0D0D" w:themeColor="text1" w:themeTint="F2"/>
          <w:szCs w:val="22"/>
          <w14:textFill>
            <w14:solidFill>
              <w14:schemeClr w14:val="tx1">
                <w14:lumMod w14:val="95000"/>
                <w14:lumOff w14:val="5000"/>
              </w14:schemeClr>
            </w14:solidFill>
          </w14:textFill>
        </w:rPr>
        <w:t>指普通大众或平民针对已识别的商业机会建立新的小型组织，或通过简单创新，使已经成熟的商业模式持续焕发新的活力。</w:t>
      </w:r>
    </w:p>
    <w:p w14:paraId="2D1EBC54">
      <w:pPr>
        <w:spacing w:line="600" w:lineRule="exact"/>
        <w:ind w:firstLine="643"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26</w:t>
      </w:r>
      <w:r>
        <w:rPr>
          <w:rFonts w:ascii="宋体" w:hAnsi="宋体"/>
          <w:b/>
          <w:color w:val="0D0D0D" w:themeColor="text1" w:themeTint="F2"/>
          <w:szCs w:val="22"/>
          <w14:textFill>
            <w14:solidFill>
              <w14:schemeClr w14:val="tx1">
                <w14:lumMod w14:val="95000"/>
                <w14:lumOff w14:val="5000"/>
              </w14:schemeClr>
            </w14:solidFill>
          </w14:textFill>
        </w:rPr>
        <w:t>.城市经济：</w:t>
      </w:r>
      <w:r>
        <w:rPr>
          <w:rFonts w:ascii="宋体" w:hAnsi="宋体"/>
          <w:bCs/>
          <w:color w:val="0D0D0D" w:themeColor="text1" w:themeTint="F2"/>
          <w:szCs w:val="22"/>
          <w14:textFill>
            <w14:solidFill>
              <w14:schemeClr w14:val="tx1">
                <w14:lumMod w14:val="95000"/>
                <w14:lumOff w14:val="5000"/>
              </w14:schemeClr>
            </w14:solidFill>
          </w14:textFill>
        </w:rPr>
        <w:t>指由工业、商业等非农业经济部门集聚而成的地区经济。</w:t>
      </w:r>
    </w:p>
    <w:p w14:paraId="4547835C">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27</w:t>
      </w:r>
      <w:r>
        <w:rPr>
          <w:rFonts w:ascii="宋体" w:hAnsi="宋体"/>
          <w:b/>
          <w:color w:val="0D0D0D" w:themeColor="text1" w:themeTint="F2"/>
          <w:szCs w:val="22"/>
          <w14:textFill>
            <w14:solidFill>
              <w14:schemeClr w14:val="tx1">
                <w14:lumMod w14:val="95000"/>
                <w14:lumOff w14:val="5000"/>
              </w14:schemeClr>
            </w14:solidFill>
          </w14:textFill>
        </w:rPr>
        <w:t>.CBD</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指一个城市里主要商务活动进行的地区，具备金融、贸易、服务、展览、咨询等多种功能，并配以完善的市政交通与通讯条件。</w:t>
      </w:r>
    </w:p>
    <w:p w14:paraId="62D4D5CC">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28.“洼地”效应：</w:t>
      </w:r>
      <w:r>
        <w:rPr>
          <w:rFonts w:hint="eastAsia" w:ascii="宋体" w:hAnsi="宋体"/>
          <w:color w:val="0D0D0D" w:themeColor="text1" w:themeTint="F2"/>
          <w:szCs w:val="22"/>
          <w14:textFill>
            <w14:solidFill>
              <w14:schemeClr w14:val="tx1">
                <w14:lumMod w14:val="95000"/>
                <w14:lumOff w14:val="5000"/>
              </w14:schemeClr>
            </w14:solidFill>
          </w14:textFill>
        </w:rPr>
        <w:t>利用比较优势，</w:t>
      </w:r>
      <w:r>
        <w:rPr>
          <w:rFonts w:ascii="宋体" w:hAnsi="宋体"/>
          <w:color w:val="0D0D0D" w:themeColor="text1" w:themeTint="F2"/>
          <w:szCs w:val="22"/>
          <w14:textFill>
            <w14:solidFill>
              <w14:schemeClr w14:val="tx1">
                <w14:lumMod w14:val="95000"/>
                <w14:lumOff w14:val="5000"/>
              </w14:schemeClr>
            </w14:solidFill>
          </w14:textFill>
        </w:rPr>
        <w:t>创造理想的经济和社会人文环境，使之对各类生产要素具有更强的吸引力，从而形成独特竞争优势，吸引外来资源向本地区汇聚、流动，弥补本地资源结构上的缺陷，促进本地区经济和社会的快速发展。</w:t>
      </w:r>
    </w:p>
    <w:p w14:paraId="03307327">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29.“一照多址”：</w:t>
      </w:r>
      <w:r>
        <w:rPr>
          <w:rFonts w:hint="eastAsia" w:ascii="宋体" w:hAnsi="宋体"/>
          <w:color w:val="0D0D0D" w:themeColor="text1" w:themeTint="F2"/>
          <w:szCs w:val="22"/>
          <w14:textFill>
            <w14:solidFill>
              <w14:schemeClr w14:val="tx1">
                <w14:lumMod w14:val="95000"/>
                <w14:lumOff w14:val="5000"/>
              </w14:schemeClr>
            </w14:solidFill>
          </w14:textFill>
        </w:rPr>
        <w:t>指在公司或者个体户注册登记后，取得一个营业执照后，因业务拓展在本区域内开办经营范围相符的第二处经营场所无需重新登记即可将正本盖章后悬挂在经营场所新址。</w:t>
      </w:r>
    </w:p>
    <w:p w14:paraId="77A350BD">
      <w:pPr>
        <w:spacing w:line="600" w:lineRule="exact"/>
        <w:ind w:firstLine="643" w:firstLineChars="200"/>
        <w:rPr>
          <w:rFonts w:ascii="宋体" w:hAnsi="宋体"/>
          <w:b/>
          <w:bCs/>
          <w:color w:val="0D0D0D" w:themeColor="text1" w:themeTint="F2"/>
          <w:szCs w:val="22"/>
          <w14:textFill>
            <w14:solidFill>
              <w14:schemeClr w14:val="tx1">
                <w14:lumMod w14:val="95000"/>
                <w14:lumOff w14:val="5000"/>
              </w14:schemeClr>
            </w14:solidFill>
          </w14:textFill>
        </w:rPr>
      </w:pPr>
      <w:r>
        <w:rPr>
          <w:rFonts w:hint="eastAsia" w:ascii="宋体" w:hAnsi="宋体"/>
          <w:b/>
          <w:bCs/>
          <w:color w:val="0D0D0D" w:themeColor="text1" w:themeTint="F2"/>
          <w:szCs w:val="22"/>
          <w14:textFill>
            <w14:solidFill>
              <w14:schemeClr w14:val="tx1">
                <w14:lumMod w14:val="95000"/>
                <w14:lumOff w14:val="5000"/>
              </w14:schemeClr>
            </w14:solidFill>
          </w14:textFill>
        </w:rPr>
        <w:t>30.农业“接二连三”：</w:t>
      </w:r>
      <w:r>
        <w:rPr>
          <w:rFonts w:ascii="宋体" w:hAnsi="宋体"/>
          <w:color w:val="0D0D0D" w:themeColor="text1" w:themeTint="F2"/>
          <w:szCs w:val="22"/>
          <w14:textFill>
            <w14:solidFill>
              <w14:schemeClr w14:val="tx1">
                <w14:lumMod w14:val="95000"/>
                <w14:lumOff w14:val="5000"/>
              </w14:schemeClr>
            </w14:solidFill>
          </w14:textFill>
        </w:rPr>
        <w:t>农业产业通过纵深推进向第二、三产业融合发展。</w:t>
      </w:r>
    </w:p>
    <w:p w14:paraId="17534045">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bCs/>
          <w:color w:val="0D0D0D" w:themeColor="text1" w:themeTint="F2"/>
          <w:szCs w:val="22"/>
          <w14:textFill>
            <w14:solidFill>
              <w14:schemeClr w14:val="tx1">
                <w14:lumMod w14:val="95000"/>
                <w14:lumOff w14:val="5000"/>
              </w14:schemeClr>
            </w14:solidFill>
          </w14:textFill>
        </w:rPr>
        <w:t>31.众筹农业：</w:t>
      </w:r>
      <w:r>
        <w:rPr>
          <w:rFonts w:hint="eastAsia" w:ascii="宋体" w:hAnsi="宋体"/>
          <w:color w:val="0D0D0D" w:themeColor="text1" w:themeTint="F2"/>
          <w:szCs w:val="22"/>
          <w14:textFill>
            <w14:solidFill>
              <w14:schemeClr w14:val="tx1">
                <w14:lumMod w14:val="95000"/>
                <w14:lumOff w14:val="5000"/>
              </w14:schemeClr>
            </w14:solidFill>
          </w14:textFill>
        </w:rPr>
        <w:t>由消费者众筹资金，农户根据订单决定生产，等农作物成熟后，将农产品直接送到消费者手中的一种模式。</w:t>
      </w:r>
    </w:p>
    <w:p w14:paraId="12683F98">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bCs/>
          <w:color w:val="0D0D0D" w:themeColor="text1" w:themeTint="F2"/>
          <w:szCs w:val="22"/>
          <w14:textFill>
            <w14:solidFill>
              <w14:schemeClr w14:val="tx1">
                <w14:lumMod w14:val="95000"/>
                <w14:lumOff w14:val="5000"/>
              </w14:schemeClr>
            </w14:solidFill>
          </w14:textFill>
        </w:rPr>
        <w:t>32.定制农业：</w:t>
      </w:r>
      <w:r>
        <w:rPr>
          <w:rFonts w:hint="eastAsia" w:ascii="宋体" w:hAnsi="宋体"/>
          <w:color w:val="0D0D0D" w:themeColor="text1" w:themeTint="F2"/>
          <w:szCs w:val="22"/>
          <w14:textFill>
            <w14:solidFill>
              <w14:schemeClr w14:val="tx1">
                <w14:lumMod w14:val="95000"/>
                <w14:lumOff w14:val="5000"/>
              </w14:schemeClr>
            </w14:solidFill>
          </w14:textFill>
        </w:rPr>
        <w:t>以绿色、有机农产品为载体，用会员制拓展用户，是一项顺应新需求的农业模式。可吸引城里人前来体验、观光、消费，与旅游、养老、文化等产业深度融合，带动乡村振兴。</w:t>
      </w:r>
    </w:p>
    <w:p w14:paraId="105B4D39">
      <w:pPr>
        <w:spacing w:line="600" w:lineRule="exact"/>
        <w:ind w:firstLine="643"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33.“两违”专项整治：</w:t>
      </w:r>
      <w:r>
        <w:rPr>
          <w:rFonts w:hint="eastAsia" w:ascii="宋体" w:hAnsi="宋体"/>
          <w:bCs/>
          <w:color w:val="0D0D0D" w:themeColor="text1" w:themeTint="F2"/>
          <w:szCs w:val="22"/>
          <w14:textFill>
            <w14:solidFill>
              <w14:schemeClr w14:val="tx1">
                <w14:lumMod w14:val="95000"/>
                <w14:lumOff w14:val="5000"/>
              </w14:schemeClr>
            </w14:solidFill>
          </w14:textFill>
        </w:rPr>
        <w:t>违法用地和违法建筑。</w:t>
      </w:r>
    </w:p>
    <w:p w14:paraId="77B92FD8">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34.农村承包地“三权分置”制度：</w:t>
      </w:r>
      <w:r>
        <w:rPr>
          <w:rFonts w:hint="eastAsia" w:ascii="宋体" w:hAnsi="宋体"/>
          <w:color w:val="0D0D0D" w:themeColor="text1" w:themeTint="F2"/>
          <w:szCs w:val="22"/>
          <w14:textFill>
            <w14:solidFill>
              <w14:schemeClr w14:val="tx1">
                <w14:lumMod w14:val="95000"/>
                <w14:lumOff w14:val="5000"/>
              </w14:schemeClr>
            </w14:solidFill>
          </w14:textFill>
        </w:rPr>
        <w:t>所有权、承包权、经营权三权分置。</w:t>
      </w:r>
      <w:r>
        <w:rPr>
          <w:rFonts w:hint="eastAsia" w:ascii="宋体" w:hAnsi="宋体"/>
          <w:b/>
          <w:color w:val="0D0D0D" w:themeColor="text1" w:themeTint="F2"/>
          <w:szCs w:val="22"/>
          <w14:textFill>
            <w14:solidFill>
              <w14:schemeClr w14:val="tx1">
                <w14:lumMod w14:val="95000"/>
                <w14:lumOff w14:val="5000"/>
              </w14:schemeClr>
            </w14:solidFill>
          </w14:textFill>
        </w:rPr>
        <w:t>农村集体“三资”管理：</w:t>
      </w:r>
      <w:r>
        <w:rPr>
          <w:rFonts w:hint="eastAsia" w:ascii="宋体" w:hAnsi="宋体"/>
          <w:color w:val="0D0D0D" w:themeColor="text1" w:themeTint="F2"/>
          <w:szCs w:val="22"/>
          <w14:textFill>
            <w14:solidFill>
              <w14:schemeClr w14:val="tx1">
                <w14:lumMod w14:val="95000"/>
                <w14:lumOff w14:val="5000"/>
              </w14:schemeClr>
            </w14:solidFill>
          </w14:textFill>
        </w:rPr>
        <w:t>农村集体资金、农村集体资产和农村集体资源。</w:t>
      </w:r>
      <w:r>
        <w:rPr>
          <w:rFonts w:hint="eastAsia" w:ascii="宋体" w:hAnsi="宋体"/>
          <w:b/>
          <w:color w:val="0D0D0D" w:themeColor="text1" w:themeTint="F2"/>
          <w:szCs w:val="22"/>
          <w14:textFill>
            <w14:solidFill>
              <w14:schemeClr w14:val="tx1">
                <w14:lumMod w14:val="95000"/>
                <w14:lumOff w14:val="5000"/>
              </w14:schemeClr>
            </w14:solidFill>
          </w14:textFill>
        </w:rPr>
        <w:t>“三变”改革：</w:t>
      </w:r>
      <w:r>
        <w:rPr>
          <w:rFonts w:hint="eastAsia" w:ascii="宋体" w:hAnsi="宋体"/>
          <w:color w:val="0D0D0D" w:themeColor="text1" w:themeTint="F2"/>
          <w:szCs w:val="22"/>
          <w14:textFill>
            <w14:solidFill>
              <w14:schemeClr w14:val="tx1">
                <w14:lumMod w14:val="95000"/>
                <w14:lumOff w14:val="5000"/>
              </w14:schemeClr>
            </w14:solidFill>
          </w14:textFill>
        </w:rPr>
        <w:t>资源变资产、资金变股金、农民变股东。</w:t>
      </w:r>
    </w:p>
    <w:p w14:paraId="170138DF">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35.“土地银行”“土地信托服务中心</w:t>
      </w:r>
      <w:r>
        <w:rPr>
          <w:rFonts w:ascii="宋体" w:hAnsi="宋体"/>
          <w:b/>
          <w:color w:val="0D0D0D" w:themeColor="text1" w:themeTint="F2"/>
          <w:szCs w:val="22"/>
          <w14:textFill>
            <w14:solidFill>
              <w14:schemeClr w14:val="tx1">
                <w14:lumMod w14:val="95000"/>
                <w14:lumOff w14:val="5000"/>
              </w14:schemeClr>
            </w14:solidFill>
          </w14:textFill>
        </w:rPr>
        <w:t>(站、社)”</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color w:val="0D0D0D" w:themeColor="text1" w:themeTint="F2"/>
          <w:szCs w:val="22"/>
          <w14:textFill>
            <w14:solidFill>
              <w14:schemeClr w14:val="tx1">
                <w14:lumMod w14:val="95000"/>
                <w14:lumOff w14:val="5000"/>
              </w14:schemeClr>
            </w14:solidFill>
          </w14:textFill>
        </w:rPr>
        <w:t>农村金融机构。</w:t>
      </w:r>
    </w:p>
    <w:p w14:paraId="1CFA397D">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36.“田间股份制”：</w:t>
      </w:r>
      <w:r>
        <w:rPr>
          <w:rFonts w:hint="eastAsia" w:ascii="宋体" w:hAnsi="宋体"/>
          <w:color w:val="0D0D0D" w:themeColor="text1" w:themeTint="F2"/>
          <w:szCs w:val="22"/>
          <w14:textFill>
            <w14:solidFill>
              <w14:schemeClr w14:val="tx1">
                <w14:lumMod w14:val="95000"/>
                <w14:lumOff w14:val="5000"/>
              </w14:schemeClr>
            </w14:solidFill>
          </w14:textFill>
        </w:rPr>
        <w:t>指农</w:t>
      </w:r>
      <w:r>
        <w:rPr>
          <w:rFonts w:ascii="宋体" w:hAnsi="宋体"/>
          <w:color w:val="0D0D0D" w:themeColor="text1" w:themeTint="F2"/>
          <w:szCs w:val="22"/>
          <w14:textFill>
            <w14:solidFill>
              <w14:schemeClr w14:val="tx1">
                <w14:lumMod w14:val="95000"/>
                <w14:lumOff w14:val="5000"/>
              </w14:schemeClr>
            </w14:solidFill>
          </w14:textFill>
        </w:rPr>
        <w:t>村土地股份制</w:t>
      </w:r>
      <w:r>
        <w:rPr>
          <w:rFonts w:hint="eastAsia" w:ascii="宋体" w:hAnsi="宋体"/>
          <w:color w:val="0D0D0D" w:themeColor="text1" w:themeTint="F2"/>
          <w:szCs w:val="22"/>
          <w14:textFill>
            <w14:solidFill>
              <w14:schemeClr w14:val="tx1">
                <w14:lumMod w14:val="95000"/>
                <w14:lumOff w14:val="5000"/>
              </w14:schemeClr>
            </w14:solidFill>
          </w14:textFill>
        </w:rPr>
        <w:t>。</w:t>
      </w:r>
    </w:p>
    <w:p w14:paraId="060D3323">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37.“两网融合”：</w:t>
      </w:r>
      <w:r>
        <w:rPr>
          <w:rFonts w:hint="eastAsia" w:ascii="宋体" w:hAnsi="宋体"/>
          <w:color w:val="0D0D0D" w:themeColor="text1" w:themeTint="F2"/>
          <w:szCs w:val="22"/>
          <w14:textFill>
            <w14:solidFill>
              <w14:schemeClr w14:val="tx1">
                <w14:lumMod w14:val="95000"/>
                <w14:lumOff w14:val="5000"/>
              </w14:schemeClr>
            </w14:solidFill>
          </w14:textFill>
        </w:rPr>
        <w:t>指的是融合城市环卫系统和再生资源系统，对垃圾进行统筹规划、统一管理。</w:t>
      </w:r>
    </w:p>
    <w:p w14:paraId="3F363ED3">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38.学前教育“5080”：</w:t>
      </w:r>
      <w:r>
        <w:rPr>
          <w:rFonts w:hint="eastAsia" w:ascii="宋体" w:hAnsi="宋体"/>
          <w:color w:val="0D0D0D" w:themeColor="text1" w:themeTint="F2"/>
          <w:szCs w:val="22"/>
          <w14:textFill>
            <w14:solidFill>
              <w14:schemeClr w14:val="tx1">
                <w14:lumMod w14:val="95000"/>
                <w14:lumOff w14:val="5000"/>
              </w14:schemeClr>
            </w14:solidFill>
          </w14:textFill>
        </w:rPr>
        <w:t>公</w:t>
      </w:r>
      <w:r>
        <w:rPr>
          <w:rFonts w:ascii="宋体" w:hAnsi="宋体"/>
          <w:color w:val="0D0D0D" w:themeColor="text1" w:themeTint="F2"/>
          <w:szCs w:val="22"/>
          <w14:textFill>
            <w14:solidFill>
              <w14:schemeClr w14:val="tx1">
                <w14:lumMod w14:val="95000"/>
                <w14:lumOff w14:val="5000"/>
              </w14:schemeClr>
            </w14:solidFill>
          </w14:textFill>
        </w:rPr>
        <w:t>办园在园学生比例达到50％，普惠幼儿占比达到80％。</w:t>
      </w:r>
    </w:p>
    <w:p w14:paraId="1019B5C9">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39.“阳光招生”政策：</w:t>
      </w:r>
      <w:r>
        <w:rPr>
          <w:rFonts w:hint="eastAsia" w:ascii="宋体" w:hAnsi="宋体"/>
          <w:color w:val="0D0D0D" w:themeColor="text1" w:themeTint="F2"/>
          <w:szCs w:val="22"/>
          <w14:textFill>
            <w14:solidFill>
              <w14:schemeClr w14:val="tx1">
                <w14:lumMod w14:val="95000"/>
                <w14:lumOff w14:val="5000"/>
              </w14:schemeClr>
            </w14:solidFill>
          </w14:textFill>
        </w:rPr>
        <w:t>以公平公正为核心、制</w:t>
      </w:r>
      <w:r>
        <w:rPr>
          <w:rFonts w:ascii="宋体" w:hAnsi="宋体"/>
          <w:color w:val="0D0D0D" w:themeColor="text1" w:themeTint="F2"/>
          <w:szCs w:val="22"/>
          <w14:textFill>
            <w14:solidFill>
              <w14:schemeClr w14:val="tx1">
                <w14:lumMod w14:val="95000"/>
                <w14:lumOff w14:val="5000"/>
              </w14:schemeClr>
            </w14:solidFill>
          </w14:textFill>
        </w:rPr>
        <w:t>度建设为基础、信息公开为重点、严格管理为根本、优质服务为依托、有效监督为保障，逐步建立和完善与我国社会发展相适应的更加公开透明的高校招生工作体系。</w:t>
      </w:r>
    </w:p>
    <w:p w14:paraId="1DFE1C87">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40.中医“治未病”：</w:t>
      </w:r>
      <w:r>
        <w:rPr>
          <w:rFonts w:hint="eastAsia" w:ascii="宋体" w:hAnsi="宋体"/>
          <w:color w:val="0D0D0D" w:themeColor="text1" w:themeTint="F2"/>
          <w:szCs w:val="22"/>
          <w14:textFill>
            <w14:solidFill>
              <w14:schemeClr w14:val="tx1">
                <w14:lumMod w14:val="95000"/>
                <w14:lumOff w14:val="5000"/>
              </w14:schemeClr>
            </w14:solidFill>
          </w14:textFill>
        </w:rPr>
        <w:t>指采取一定的措施防止疾病产生和发展的治疗原则，包括未病先防和既病防变两个方面。</w:t>
      </w:r>
    </w:p>
    <w:p w14:paraId="12D9D277">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41.“平安细胞”创建：</w:t>
      </w:r>
      <w:r>
        <w:rPr>
          <w:rFonts w:hint="eastAsia" w:ascii="宋体" w:hAnsi="宋体"/>
          <w:color w:val="0D0D0D" w:themeColor="text1" w:themeTint="F2"/>
          <w:szCs w:val="22"/>
          <w14:textFill>
            <w14:solidFill>
              <w14:schemeClr w14:val="tx1">
                <w14:lumMod w14:val="95000"/>
                <w14:lumOff w14:val="5000"/>
              </w14:schemeClr>
            </w14:solidFill>
          </w14:textFill>
        </w:rPr>
        <w:t>从家庭细胞和社会单元入手，依靠群防群治，共同推进平安建设、维护社会稳定。</w:t>
      </w:r>
    </w:p>
    <w:p w14:paraId="1C35BE19">
      <w:pPr>
        <w:spacing w:line="600" w:lineRule="exact"/>
        <w:ind w:firstLine="643"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42.</w:t>
      </w:r>
      <w:r>
        <w:rPr>
          <w:rFonts w:hint="eastAsia" w:ascii="仿宋" w:hAnsi="仿宋" w:eastAsia="仿宋" w:cs="仿宋"/>
          <w:b/>
          <w:color w:val="0D0D0D" w:themeColor="text1" w:themeTint="F2"/>
          <w:szCs w:val="22"/>
          <w14:textFill>
            <w14:solidFill>
              <w14:schemeClr w14:val="tx1">
                <w14:lumMod w14:val="95000"/>
                <w14:lumOff w14:val="5000"/>
              </w14:schemeClr>
            </w14:solidFill>
          </w14:textFill>
        </w:rPr>
        <w:t>3个三</w:t>
      </w:r>
      <w:r>
        <w:rPr>
          <w:rFonts w:hint="eastAsia" w:ascii="宋体" w:hAnsi="宋体"/>
          <w:b/>
          <w:color w:val="0D0D0D" w:themeColor="text1" w:themeTint="F2"/>
          <w:szCs w:val="22"/>
          <w14:textFill>
            <w14:solidFill>
              <w14:schemeClr w14:val="tx1">
                <w14:lumMod w14:val="95000"/>
                <w14:lumOff w14:val="5000"/>
              </w14:schemeClr>
            </w14:solidFill>
          </w14:textFill>
        </w:rPr>
        <w:t>：</w:t>
      </w:r>
      <w:r>
        <w:rPr>
          <w:rFonts w:hint="eastAsia" w:ascii="宋体" w:hAnsi="宋体"/>
          <w:bCs/>
          <w:color w:val="0D0D0D" w:themeColor="text1" w:themeTint="F2"/>
          <w:szCs w:val="22"/>
          <w14:textFill>
            <w14:solidFill>
              <w14:schemeClr w14:val="tx1">
                <w14:lumMod w14:val="95000"/>
                <w14:lumOff w14:val="5000"/>
              </w14:schemeClr>
            </w14:solidFill>
          </w14:textFill>
        </w:rPr>
        <w:t>坚持一二三产融合，坚持区镇村三级联动，坚持政府、社会、群众三方共谋共建。</w:t>
      </w:r>
    </w:p>
    <w:p w14:paraId="45AAB7E8">
      <w:pPr>
        <w:spacing w:line="600" w:lineRule="exact"/>
        <w:ind w:firstLine="643" w:firstLineChars="200"/>
        <w:rPr>
          <w:rFonts w:ascii="宋体" w:hAnsi="宋体"/>
          <w:b/>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43.法制副校长：</w:t>
      </w:r>
      <w:r>
        <w:rPr>
          <w:rFonts w:hint="eastAsia" w:ascii="宋体" w:hAnsi="宋体"/>
          <w:color w:val="0D0D0D" w:themeColor="text1" w:themeTint="F2"/>
          <w:szCs w:val="22"/>
          <w14:textFill>
            <w14:solidFill>
              <w14:schemeClr w14:val="tx1">
                <w14:lumMod w14:val="95000"/>
                <w14:lumOff w14:val="5000"/>
              </w14:schemeClr>
            </w14:solidFill>
          </w14:textFill>
        </w:rPr>
        <w:t>贯彻执行《教育法》、《预防未成年人犯罪法》等法律法规，规范全县学校法制副校长管理工作，推动依法治校和青少年法制教育工作的深入开展。</w:t>
      </w:r>
    </w:p>
    <w:p w14:paraId="098C1D04">
      <w:pPr>
        <w:spacing w:line="600" w:lineRule="exact"/>
        <w:ind w:firstLine="643" w:firstLineChars="200"/>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b/>
          <w:color w:val="0D0D0D" w:themeColor="text1" w:themeTint="F2"/>
          <w:szCs w:val="22"/>
          <w14:textFill>
            <w14:solidFill>
              <w14:schemeClr w14:val="tx1">
                <w14:lumMod w14:val="95000"/>
                <w14:lumOff w14:val="5000"/>
              </w14:schemeClr>
            </w14:solidFill>
          </w14:textFill>
        </w:rPr>
        <w:t>44.“八五”普法：</w:t>
      </w:r>
      <w:r>
        <w:rPr>
          <w:rFonts w:hint="eastAsia" w:ascii="宋体" w:hAnsi="宋体"/>
          <w:color w:val="0D0D0D" w:themeColor="text1" w:themeTint="F2"/>
          <w:szCs w:val="22"/>
          <w14:textFill>
            <w14:solidFill>
              <w14:schemeClr w14:val="tx1">
                <w14:lumMod w14:val="95000"/>
                <w14:lumOff w14:val="5000"/>
              </w14:schemeClr>
            </w14:solidFill>
          </w14:textFill>
        </w:rPr>
        <w:t>指中央宣传部、司法部关于在公民中开展法治宣传教育的第八个五年规划（</w:t>
      </w:r>
      <w:r>
        <w:rPr>
          <w:rFonts w:ascii="宋体" w:hAnsi="宋体"/>
          <w:color w:val="0D0D0D" w:themeColor="text1" w:themeTint="F2"/>
          <w:szCs w:val="22"/>
          <w14:textFill>
            <w14:solidFill>
              <w14:schemeClr w14:val="tx1">
                <w14:lumMod w14:val="95000"/>
                <w14:lumOff w14:val="5000"/>
              </w14:schemeClr>
            </w14:solidFill>
          </w14:textFill>
        </w:rPr>
        <w:t>20</w:t>
      </w:r>
      <w:r>
        <w:rPr>
          <w:rFonts w:hint="eastAsia" w:ascii="宋体" w:hAnsi="宋体"/>
          <w:color w:val="0D0D0D" w:themeColor="text1" w:themeTint="F2"/>
          <w:szCs w:val="22"/>
          <w14:textFill>
            <w14:solidFill>
              <w14:schemeClr w14:val="tx1">
                <w14:lumMod w14:val="95000"/>
                <w14:lumOff w14:val="5000"/>
              </w14:schemeClr>
            </w14:solidFill>
          </w14:textFill>
        </w:rPr>
        <w:t>21</w:t>
      </w:r>
      <w:r>
        <w:rPr>
          <w:rFonts w:ascii="宋体" w:hAnsi="宋体"/>
          <w:color w:val="0D0D0D" w:themeColor="text1" w:themeTint="F2"/>
          <w:szCs w:val="22"/>
          <w14:textFill>
            <w14:solidFill>
              <w14:schemeClr w14:val="tx1">
                <w14:lumMod w14:val="95000"/>
                <w14:lumOff w14:val="5000"/>
              </w14:schemeClr>
            </w14:solidFill>
          </w14:textFill>
        </w:rPr>
        <w:t>－202</w:t>
      </w:r>
      <w:r>
        <w:rPr>
          <w:rFonts w:hint="eastAsia" w:ascii="宋体" w:hAnsi="宋体"/>
          <w:color w:val="0D0D0D" w:themeColor="text1" w:themeTint="F2"/>
          <w:szCs w:val="22"/>
          <w14:textFill>
            <w14:solidFill>
              <w14:schemeClr w14:val="tx1">
                <w14:lumMod w14:val="95000"/>
                <w14:lumOff w14:val="5000"/>
              </w14:schemeClr>
            </w14:solidFill>
          </w14:textFill>
        </w:rPr>
        <w:t>5</w:t>
      </w:r>
      <w:r>
        <w:rPr>
          <w:rFonts w:ascii="宋体" w:hAnsi="宋体"/>
          <w:color w:val="0D0D0D" w:themeColor="text1" w:themeTint="F2"/>
          <w:szCs w:val="22"/>
          <w14:textFill>
            <w14:solidFill>
              <w14:schemeClr w14:val="tx1">
                <w14:lumMod w14:val="95000"/>
                <w14:lumOff w14:val="5000"/>
              </w14:schemeClr>
            </w14:solidFill>
          </w14:textFill>
        </w:rPr>
        <w:t>年）</w:t>
      </w:r>
      <w:r>
        <w:rPr>
          <w:rFonts w:hint="eastAsia" w:ascii="宋体" w:hAnsi="宋体"/>
          <w:color w:val="0D0D0D" w:themeColor="text1" w:themeTint="F2"/>
          <w:szCs w:val="22"/>
          <w14:textFill>
            <w14:solidFill>
              <w14:schemeClr w14:val="tx1">
                <w14:lumMod w14:val="95000"/>
                <w14:lumOff w14:val="5000"/>
              </w14:schemeClr>
            </w14:solidFill>
          </w14:textFill>
        </w:rPr>
        <w:t>。</w:t>
      </w:r>
    </w:p>
    <w:p w14:paraId="6F9BA1E6">
      <w:pPr>
        <w:spacing w:line="600" w:lineRule="exact"/>
        <w:ind w:firstLine="640" w:firstLineChars="200"/>
        <w:rPr>
          <w:rFonts w:ascii="宋体" w:hAnsi="宋体"/>
          <w:color w:val="0D0D0D" w:themeColor="text1" w:themeTint="F2"/>
          <w:szCs w:val="22"/>
          <w14:textFill>
            <w14:solidFill>
              <w14:schemeClr w14:val="tx1">
                <w14:lumMod w14:val="95000"/>
                <w14:lumOff w14:val="5000"/>
              </w14:schemeClr>
            </w14:solidFill>
          </w14:textFill>
        </w:rPr>
      </w:pPr>
    </w:p>
    <w:p w14:paraId="4043467F">
      <w:pPr>
        <w:pStyle w:val="17"/>
        <w:spacing w:line="600" w:lineRule="exact"/>
        <w:ind w:left="0" w:leftChars="0" w:firstLine="0" w:firstLineChars="0"/>
        <w:jc w:val="center"/>
        <w:rPr>
          <w:rFonts w:ascii="宋体" w:hAnsi="宋体"/>
          <w:color w:val="0D0D0D" w:themeColor="text1" w:themeTint="F2"/>
          <w:szCs w:val="32"/>
          <w14:textFill>
            <w14:solidFill>
              <w14:schemeClr w14:val="tx1">
                <w14:lumMod w14:val="95000"/>
                <w14:lumOff w14:val="5000"/>
              </w14:schemeClr>
            </w14:solidFill>
          </w14:textFill>
        </w:rPr>
        <w:sectPr>
          <w:footerReference r:id="rId6" w:type="default"/>
          <w:pgSz w:w="11906" w:h="16838"/>
          <w:pgMar w:top="1418" w:right="1588" w:bottom="1418" w:left="1588" w:header="851" w:footer="992" w:gutter="0"/>
          <w:cols w:space="425" w:num="1"/>
          <w:docGrid w:type="lines" w:linePitch="600" w:charSpace="0"/>
        </w:sectPr>
      </w:pPr>
    </w:p>
    <w:p w14:paraId="2E9D5106">
      <w:pPr>
        <w:pStyle w:val="17"/>
        <w:tabs>
          <w:tab w:val="left" w:pos="312"/>
        </w:tabs>
        <w:spacing w:line="600" w:lineRule="exact"/>
        <w:ind w:left="0" w:leftChars="0" w:firstLine="0" w:firstLineChars="0"/>
        <w:jc w:val="left"/>
        <w:rPr>
          <w:rFonts w:ascii="宋体" w:hAnsi="宋体"/>
          <w:color w:val="0D0D0D" w:themeColor="text1" w:themeTint="F2"/>
          <w:szCs w:val="22"/>
          <w14:textFill>
            <w14:solidFill>
              <w14:schemeClr w14:val="tx1">
                <w14:lumMod w14:val="95000"/>
                <w14:lumOff w14:val="5000"/>
              </w14:schemeClr>
            </w14:solidFill>
          </w14:textFill>
        </w:rPr>
      </w:pPr>
      <w:r>
        <w:rPr>
          <w:rFonts w:hint="eastAsia" w:ascii="宋体" w:hAnsi="宋体"/>
          <w:color w:val="0D0D0D" w:themeColor="text1" w:themeTint="F2"/>
          <w:szCs w:val="22"/>
          <w14:textFill>
            <w14:solidFill>
              <w14:schemeClr w14:val="tx1">
                <w14:lumMod w14:val="95000"/>
                <w14:lumOff w14:val="5000"/>
              </w14:schemeClr>
            </w14:solidFill>
          </w14:textFill>
        </w:rPr>
        <w:t>附件2</w:t>
      </w:r>
    </w:p>
    <w:p w14:paraId="35DA5A76">
      <w:pPr>
        <w:pStyle w:val="17"/>
        <w:tabs>
          <w:tab w:val="left" w:pos="312"/>
        </w:tabs>
        <w:spacing w:line="600" w:lineRule="exact"/>
        <w:ind w:left="0" w:leftChars="0" w:firstLine="0" w:firstLineChars="0"/>
        <w:jc w:val="center"/>
        <w:rPr>
          <w:rFonts w:ascii="宋体" w:hAnsi="宋体" w:eastAsia="黑体"/>
          <w:color w:val="0D0D0D" w:themeColor="text1" w:themeTint="F2"/>
          <w:szCs w:val="22"/>
          <w14:textFill>
            <w14:solidFill>
              <w14:schemeClr w14:val="tx1">
                <w14:lumMod w14:val="95000"/>
                <w14:lumOff w14:val="5000"/>
              </w14:schemeClr>
            </w14:solidFill>
          </w14:textFill>
        </w:rPr>
      </w:pPr>
      <w:r>
        <w:rPr>
          <w:rFonts w:hint="eastAsia" w:ascii="宋体" w:hAnsi="宋体" w:eastAsia="黑体"/>
          <w:color w:val="0D0D0D" w:themeColor="text1" w:themeTint="F2"/>
          <w:szCs w:val="22"/>
          <w14:textFill>
            <w14:solidFill>
              <w14:schemeClr w14:val="tx1">
                <w14:lumMod w14:val="95000"/>
                <w14:lumOff w14:val="5000"/>
              </w14:schemeClr>
            </w14:solidFill>
          </w14:textFill>
        </w:rPr>
        <w:t>云城区“十四五”规划重大项目表</w:t>
      </w:r>
    </w:p>
    <w:tbl>
      <w:tblPr>
        <w:tblStyle w:val="18"/>
        <w:tblW w:w="5165" w:type="pct"/>
        <w:tblInd w:w="0" w:type="dxa"/>
        <w:tblLayout w:type="autofit"/>
        <w:tblCellMar>
          <w:top w:w="0" w:type="dxa"/>
          <w:left w:w="0" w:type="dxa"/>
          <w:bottom w:w="0" w:type="dxa"/>
          <w:right w:w="0" w:type="dxa"/>
        </w:tblCellMar>
      </w:tblPr>
      <w:tblGrid>
        <w:gridCol w:w="412"/>
        <w:gridCol w:w="2958"/>
        <w:gridCol w:w="4832"/>
        <w:gridCol w:w="1146"/>
        <w:gridCol w:w="1047"/>
        <w:gridCol w:w="1446"/>
        <w:gridCol w:w="1378"/>
        <w:gridCol w:w="925"/>
      </w:tblGrid>
      <w:tr w14:paraId="0D725CBA">
        <w:tblPrEx>
          <w:tblCellMar>
            <w:top w:w="0" w:type="dxa"/>
            <w:left w:w="0" w:type="dxa"/>
            <w:bottom w:w="0" w:type="dxa"/>
            <w:right w:w="0" w:type="dxa"/>
          </w:tblCellMar>
        </w:tblPrEx>
        <w:trPr>
          <w:trHeight w:val="12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E44F">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序号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9AB9">
            <w:pPr>
              <w:widowControl/>
              <w:spacing w:line="440" w:lineRule="exact"/>
              <w:jc w:val="left"/>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项目名称</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BBBA">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建设规模及内容</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A241">
            <w:pPr>
              <w:widowControl/>
              <w:spacing w:line="440" w:lineRule="exact"/>
              <w:jc w:val="center"/>
              <w:textAlignment w:val="center"/>
              <w:rPr>
                <w:rFonts w:ascii="宋体" w:hAnsi="宋体" w:cs="仿宋_GB2312"/>
                <w:b/>
                <w:color w:val="0D0D0D" w:themeColor="text1" w:themeTint="F2"/>
                <w:kern w:val="0"/>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建设起止</w:t>
            </w:r>
          </w:p>
          <w:p w14:paraId="0D2B27B4">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年限</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4D11">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总投资（万元）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51E0">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到2020年底累计完成投资（万元）</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EF54">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“十四五”期间计划投资（万元）</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4A9D">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备注</w:t>
            </w:r>
          </w:p>
        </w:tc>
      </w:tr>
      <w:tr w14:paraId="13CF0178">
        <w:tblPrEx>
          <w:tblCellMar>
            <w:top w:w="0" w:type="dxa"/>
            <w:left w:w="0" w:type="dxa"/>
            <w:bottom w:w="0" w:type="dxa"/>
            <w:right w:w="0" w:type="dxa"/>
          </w:tblCellMar>
        </w:tblPrEx>
        <w:trPr>
          <w:trHeight w:val="420" w:hRule="atLeast"/>
        </w:trPr>
        <w:tc>
          <w:tcPr>
            <w:tcW w:w="11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CE2B">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合计（共80项）</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9B19">
            <w:pPr>
              <w:widowControl/>
              <w:spacing w:line="440" w:lineRule="exact"/>
              <w:jc w:val="left"/>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89" name="矩形_3"/>
                  <wp:cNvGraphicFramePr/>
                  <a:graphic xmlns:a="http://schemas.openxmlformats.org/drawingml/2006/main">
                    <a:graphicData uri="http://schemas.openxmlformats.org/drawingml/2006/picture">
                      <pic:pic xmlns:pic="http://schemas.openxmlformats.org/drawingml/2006/picture">
                        <pic:nvPicPr>
                          <pic:cNvPr id="1689" name="矩形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0" name="矩形_6"/>
                  <wp:cNvGraphicFramePr/>
                  <a:graphic xmlns:a="http://schemas.openxmlformats.org/drawingml/2006/main">
                    <a:graphicData uri="http://schemas.openxmlformats.org/drawingml/2006/picture">
                      <pic:pic xmlns:pic="http://schemas.openxmlformats.org/drawingml/2006/picture">
                        <pic:nvPicPr>
                          <pic:cNvPr id="1690" name="矩形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87" name="矩形_17"/>
                  <wp:cNvGraphicFramePr/>
                  <a:graphic xmlns:a="http://schemas.openxmlformats.org/drawingml/2006/main">
                    <a:graphicData uri="http://schemas.openxmlformats.org/drawingml/2006/picture">
                      <pic:pic xmlns:pic="http://schemas.openxmlformats.org/drawingml/2006/picture">
                        <pic:nvPicPr>
                          <pic:cNvPr id="1687" name="矩形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23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88" name="矩形_16"/>
                  <wp:cNvGraphicFramePr/>
                  <a:graphic xmlns:a="http://schemas.openxmlformats.org/drawingml/2006/main">
                    <a:graphicData uri="http://schemas.openxmlformats.org/drawingml/2006/picture">
                      <pic:pic xmlns:pic="http://schemas.openxmlformats.org/drawingml/2006/picture">
                        <pic:nvPicPr>
                          <pic:cNvPr id="1688" name="矩形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33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686" name="矩形_3_SpCnt_1"/>
                  <wp:cNvGraphicFramePr/>
                  <a:graphic xmlns:a="http://schemas.openxmlformats.org/drawingml/2006/main">
                    <a:graphicData uri="http://schemas.openxmlformats.org/drawingml/2006/picture">
                      <pic:pic xmlns:pic="http://schemas.openxmlformats.org/drawingml/2006/picture">
                        <pic:nvPicPr>
                          <pic:cNvPr id="1686" name="矩形_3_SpCnt_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43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6" name="矩形_4"/>
                  <wp:cNvGraphicFramePr/>
                  <a:graphic xmlns:a="http://schemas.openxmlformats.org/drawingml/2006/main">
                    <a:graphicData uri="http://schemas.openxmlformats.org/drawingml/2006/picture">
                      <pic:pic xmlns:pic="http://schemas.openxmlformats.org/drawingml/2006/picture">
                        <pic:nvPicPr>
                          <pic:cNvPr id="1706" name="矩形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54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4" name="矩形_9"/>
                  <wp:cNvGraphicFramePr/>
                  <a:graphic xmlns:a="http://schemas.openxmlformats.org/drawingml/2006/main">
                    <a:graphicData uri="http://schemas.openxmlformats.org/drawingml/2006/picture">
                      <pic:pic xmlns:pic="http://schemas.openxmlformats.org/drawingml/2006/picture">
                        <pic:nvPicPr>
                          <pic:cNvPr id="1694" name="矩形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643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14" name="矩形_3_SpCnt_2"/>
                  <wp:cNvGraphicFramePr/>
                  <a:graphic xmlns:a="http://schemas.openxmlformats.org/drawingml/2006/main">
                    <a:graphicData uri="http://schemas.openxmlformats.org/drawingml/2006/picture">
                      <pic:pic xmlns:pic="http://schemas.openxmlformats.org/drawingml/2006/picture">
                        <pic:nvPicPr>
                          <pic:cNvPr id="1714" name="矩形_3_SpCnt_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74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9" name="矩形_6_SpCnt_1"/>
                  <wp:cNvGraphicFramePr/>
                  <a:graphic xmlns:a="http://schemas.openxmlformats.org/drawingml/2006/main">
                    <a:graphicData uri="http://schemas.openxmlformats.org/drawingml/2006/picture">
                      <pic:pic xmlns:pic="http://schemas.openxmlformats.org/drawingml/2006/picture">
                        <pic:nvPicPr>
                          <pic:cNvPr id="1719" name="矩形_6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848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18" name="矩形_6_SpCnt_2"/>
                  <wp:cNvGraphicFramePr/>
                  <a:graphic xmlns:a="http://schemas.openxmlformats.org/drawingml/2006/main">
                    <a:graphicData uri="http://schemas.openxmlformats.org/drawingml/2006/picture">
                      <pic:pic xmlns:pic="http://schemas.openxmlformats.org/drawingml/2006/picture">
                        <pic:nvPicPr>
                          <pic:cNvPr id="1718" name="矩形_6_SpCnt_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695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0" name="矩形_3_SpCnt_3"/>
                  <wp:cNvGraphicFramePr/>
                  <a:graphic xmlns:a="http://schemas.openxmlformats.org/drawingml/2006/main">
                    <a:graphicData uri="http://schemas.openxmlformats.org/drawingml/2006/picture">
                      <pic:pic xmlns:pic="http://schemas.openxmlformats.org/drawingml/2006/picture">
                        <pic:nvPicPr>
                          <pic:cNvPr id="1720" name="矩形_3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05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5" name="矩形_4_SpCnt_1"/>
                  <wp:cNvGraphicFramePr/>
                  <a:graphic xmlns:a="http://schemas.openxmlformats.org/drawingml/2006/main">
                    <a:graphicData uri="http://schemas.openxmlformats.org/drawingml/2006/picture">
                      <pic:pic xmlns:pic="http://schemas.openxmlformats.org/drawingml/2006/picture">
                        <pic:nvPicPr>
                          <pic:cNvPr id="1715" name="矩形_4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155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699" name="矩形_6_SpCnt_3"/>
                  <wp:cNvGraphicFramePr/>
                  <a:graphic xmlns:a="http://schemas.openxmlformats.org/drawingml/2006/main">
                    <a:graphicData uri="http://schemas.openxmlformats.org/drawingml/2006/picture">
                      <pic:pic xmlns:pic="http://schemas.openxmlformats.org/drawingml/2006/picture">
                        <pic:nvPicPr>
                          <pic:cNvPr id="1699" name="矩形_6_SpCnt_3"/>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25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691" name="矩形_17_SpCnt_1"/>
                  <wp:cNvGraphicFramePr/>
                  <a:graphic xmlns:a="http://schemas.openxmlformats.org/drawingml/2006/main">
                    <a:graphicData uri="http://schemas.openxmlformats.org/drawingml/2006/picture">
                      <pic:pic xmlns:pic="http://schemas.openxmlformats.org/drawingml/2006/picture">
                        <pic:nvPicPr>
                          <pic:cNvPr id="1691" name="矩形_17_SpCnt_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36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7" name="矩形_3_SpCnt_4"/>
                  <wp:cNvGraphicFramePr/>
                  <a:graphic xmlns:a="http://schemas.openxmlformats.org/drawingml/2006/main">
                    <a:graphicData uri="http://schemas.openxmlformats.org/drawingml/2006/picture">
                      <pic:pic xmlns:pic="http://schemas.openxmlformats.org/drawingml/2006/picture">
                        <pic:nvPicPr>
                          <pic:cNvPr id="1697" name="矩形_3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462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00" name="矩形_3_SpCnt_5"/>
                  <wp:cNvGraphicFramePr/>
                  <a:graphic xmlns:a="http://schemas.openxmlformats.org/drawingml/2006/main">
                    <a:graphicData uri="http://schemas.openxmlformats.org/drawingml/2006/picture">
                      <pic:pic xmlns:pic="http://schemas.openxmlformats.org/drawingml/2006/picture">
                        <pic:nvPicPr>
                          <pic:cNvPr id="1700" name="矩形_3_SpCnt_5"/>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56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3" name="矩形_17_SpCnt_2"/>
                  <wp:cNvGraphicFramePr/>
                  <a:graphic xmlns:a="http://schemas.openxmlformats.org/drawingml/2006/main">
                    <a:graphicData uri="http://schemas.openxmlformats.org/drawingml/2006/picture">
                      <pic:pic xmlns:pic="http://schemas.openxmlformats.org/drawingml/2006/picture">
                        <pic:nvPicPr>
                          <pic:cNvPr id="1703" name="矩形_17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66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2" name="矩形_17_SpCnt_3"/>
                  <wp:cNvGraphicFramePr/>
                  <a:graphic xmlns:a="http://schemas.openxmlformats.org/drawingml/2006/main">
                    <a:graphicData uri="http://schemas.openxmlformats.org/drawingml/2006/picture">
                      <pic:pic xmlns:pic="http://schemas.openxmlformats.org/drawingml/2006/picture">
                        <pic:nvPicPr>
                          <pic:cNvPr id="1692" name="矩形_17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76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1" name="矩形_17_SpCnt_4"/>
                  <wp:cNvGraphicFramePr/>
                  <a:graphic xmlns:a="http://schemas.openxmlformats.org/drawingml/2006/main">
                    <a:graphicData uri="http://schemas.openxmlformats.org/drawingml/2006/picture">
                      <pic:pic xmlns:pic="http://schemas.openxmlformats.org/drawingml/2006/picture">
                        <pic:nvPicPr>
                          <pic:cNvPr id="1721" name="矩形_17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87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3" name="矩形_16_SpCnt_1"/>
                  <wp:cNvGraphicFramePr/>
                  <a:graphic xmlns:a="http://schemas.openxmlformats.org/drawingml/2006/main">
                    <a:graphicData uri="http://schemas.openxmlformats.org/drawingml/2006/picture">
                      <pic:pic xmlns:pic="http://schemas.openxmlformats.org/drawingml/2006/picture">
                        <pic:nvPicPr>
                          <pic:cNvPr id="1693" name="矩形_16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797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5" name="矩形_16_SpCnt_2"/>
                  <wp:cNvGraphicFramePr/>
                  <a:graphic xmlns:a="http://schemas.openxmlformats.org/drawingml/2006/main">
                    <a:graphicData uri="http://schemas.openxmlformats.org/drawingml/2006/picture">
                      <pic:pic xmlns:pic="http://schemas.openxmlformats.org/drawingml/2006/picture">
                        <pic:nvPicPr>
                          <pic:cNvPr id="1695" name="矩形_16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07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2" name="矩形_9_SpCnt_1"/>
                  <wp:cNvGraphicFramePr/>
                  <a:graphic xmlns:a="http://schemas.openxmlformats.org/drawingml/2006/main">
                    <a:graphicData uri="http://schemas.openxmlformats.org/drawingml/2006/picture">
                      <pic:pic xmlns:pic="http://schemas.openxmlformats.org/drawingml/2006/picture">
                        <pic:nvPicPr>
                          <pic:cNvPr id="1722" name="矩形_9_SpCnt_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17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1" name="矩形_6_SpCnt_4"/>
                  <wp:cNvGraphicFramePr/>
                  <a:graphic xmlns:a="http://schemas.openxmlformats.org/drawingml/2006/main">
                    <a:graphicData uri="http://schemas.openxmlformats.org/drawingml/2006/picture">
                      <pic:pic xmlns:pic="http://schemas.openxmlformats.org/drawingml/2006/picture">
                        <pic:nvPicPr>
                          <pic:cNvPr id="1701" name="矩形_6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28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4" name="矩形_16_SpCnt_3"/>
                  <wp:cNvGraphicFramePr/>
                  <a:graphic xmlns:a="http://schemas.openxmlformats.org/drawingml/2006/main">
                    <a:graphicData uri="http://schemas.openxmlformats.org/drawingml/2006/picture">
                      <pic:pic xmlns:pic="http://schemas.openxmlformats.org/drawingml/2006/picture">
                        <pic:nvPicPr>
                          <pic:cNvPr id="1704" name="矩形_16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38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6" name="矩形_9_SpCnt_2"/>
                  <wp:cNvGraphicFramePr/>
                  <a:graphic xmlns:a="http://schemas.openxmlformats.org/drawingml/2006/main">
                    <a:graphicData uri="http://schemas.openxmlformats.org/drawingml/2006/picture">
                      <pic:pic xmlns:pic="http://schemas.openxmlformats.org/drawingml/2006/picture">
                        <pic:nvPicPr>
                          <pic:cNvPr id="1696" name="矩形_9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48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698" name="矩形_4_SpCnt_2"/>
                  <wp:cNvGraphicFramePr/>
                  <a:graphic xmlns:a="http://schemas.openxmlformats.org/drawingml/2006/main">
                    <a:graphicData uri="http://schemas.openxmlformats.org/drawingml/2006/picture">
                      <pic:pic xmlns:pic="http://schemas.openxmlformats.org/drawingml/2006/picture">
                        <pic:nvPicPr>
                          <pic:cNvPr id="1698" name="矩形_4_SpCnt_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58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7" name="矩形_3_SpCnt_6"/>
                  <wp:cNvGraphicFramePr/>
                  <a:graphic xmlns:a="http://schemas.openxmlformats.org/drawingml/2006/main">
                    <a:graphicData uri="http://schemas.openxmlformats.org/drawingml/2006/picture">
                      <pic:pic xmlns:pic="http://schemas.openxmlformats.org/drawingml/2006/picture">
                        <pic:nvPicPr>
                          <pic:cNvPr id="1717" name="矩形_3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69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3" name="矩形_6_SpCnt_5"/>
                  <wp:cNvGraphicFramePr/>
                  <a:graphic xmlns:a="http://schemas.openxmlformats.org/drawingml/2006/main">
                    <a:graphicData uri="http://schemas.openxmlformats.org/drawingml/2006/picture">
                      <pic:pic xmlns:pic="http://schemas.openxmlformats.org/drawingml/2006/picture">
                        <pic:nvPicPr>
                          <pic:cNvPr id="1713" name="矩形_6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79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2" name="矩形_17_SpCnt_5"/>
                  <wp:cNvGraphicFramePr/>
                  <a:graphic xmlns:a="http://schemas.openxmlformats.org/drawingml/2006/main">
                    <a:graphicData uri="http://schemas.openxmlformats.org/drawingml/2006/picture">
                      <pic:pic xmlns:pic="http://schemas.openxmlformats.org/drawingml/2006/picture">
                        <pic:nvPicPr>
                          <pic:cNvPr id="1702" name="矩形_17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89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05" name="矩形_16_SpCnt_4"/>
                  <wp:cNvGraphicFramePr/>
                  <a:graphic xmlns:a="http://schemas.openxmlformats.org/drawingml/2006/main">
                    <a:graphicData uri="http://schemas.openxmlformats.org/drawingml/2006/picture">
                      <pic:pic xmlns:pic="http://schemas.openxmlformats.org/drawingml/2006/picture">
                        <pic:nvPicPr>
                          <pic:cNvPr id="1705" name="矩形_16_SpCnt_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899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7" name="矩形_16_SpCnt_5"/>
                  <wp:cNvGraphicFramePr/>
                  <a:graphic xmlns:a="http://schemas.openxmlformats.org/drawingml/2006/main">
                    <a:graphicData uri="http://schemas.openxmlformats.org/drawingml/2006/picture">
                      <pic:pic xmlns:pic="http://schemas.openxmlformats.org/drawingml/2006/picture">
                        <pic:nvPicPr>
                          <pic:cNvPr id="1707" name="矩形_16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10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8" name="矩形_9_SpCnt_3"/>
                  <wp:cNvGraphicFramePr/>
                  <a:graphic xmlns:a="http://schemas.openxmlformats.org/drawingml/2006/main">
                    <a:graphicData uri="http://schemas.openxmlformats.org/drawingml/2006/picture">
                      <pic:pic xmlns:pic="http://schemas.openxmlformats.org/drawingml/2006/picture">
                        <pic:nvPicPr>
                          <pic:cNvPr id="1708" name="矩形_9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20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09" name="矩形_4_SpCnt_3"/>
                  <wp:cNvGraphicFramePr/>
                  <a:graphic xmlns:a="http://schemas.openxmlformats.org/drawingml/2006/main">
                    <a:graphicData uri="http://schemas.openxmlformats.org/drawingml/2006/picture">
                      <pic:pic xmlns:pic="http://schemas.openxmlformats.org/drawingml/2006/picture">
                        <pic:nvPicPr>
                          <pic:cNvPr id="1709" name="矩形_4_SpCnt_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30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0" name="矩形_9_SpCnt_4"/>
                  <wp:cNvGraphicFramePr/>
                  <a:graphic xmlns:a="http://schemas.openxmlformats.org/drawingml/2006/main">
                    <a:graphicData uri="http://schemas.openxmlformats.org/drawingml/2006/picture">
                      <pic:pic xmlns:pic="http://schemas.openxmlformats.org/drawingml/2006/picture">
                        <pic:nvPicPr>
                          <pic:cNvPr id="1710" name="矩形_9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40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1" name="矩形_6_SpCnt_6"/>
                  <wp:cNvGraphicFramePr/>
                  <a:graphic xmlns:a="http://schemas.openxmlformats.org/drawingml/2006/main">
                    <a:graphicData uri="http://schemas.openxmlformats.org/drawingml/2006/picture">
                      <pic:pic xmlns:pic="http://schemas.openxmlformats.org/drawingml/2006/picture">
                        <pic:nvPicPr>
                          <pic:cNvPr id="1711" name="矩形_6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51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6" name="矩形_3_SpCnt_7"/>
                  <wp:cNvGraphicFramePr/>
                  <a:graphic xmlns:a="http://schemas.openxmlformats.org/drawingml/2006/main">
                    <a:graphicData uri="http://schemas.openxmlformats.org/drawingml/2006/picture">
                      <pic:pic xmlns:pic="http://schemas.openxmlformats.org/drawingml/2006/picture">
                        <pic:nvPicPr>
                          <pic:cNvPr id="1716" name="矩形_3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61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12" name="矩形_4_SpCnt_4"/>
                  <wp:cNvGraphicFramePr/>
                  <a:graphic xmlns:a="http://schemas.openxmlformats.org/drawingml/2006/main">
                    <a:graphicData uri="http://schemas.openxmlformats.org/drawingml/2006/picture">
                      <pic:pic xmlns:pic="http://schemas.openxmlformats.org/drawingml/2006/picture">
                        <pic:nvPicPr>
                          <pic:cNvPr id="1712" name="矩形_4_SpCnt_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71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6" name="矩形_3_SpCnt_8"/>
                  <wp:cNvGraphicFramePr/>
                  <a:graphic xmlns:a="http://schemas.openxmlformats.org/drawingml/2006/main">
                    <a:graphicData uri="http://schemas.openxmlformats.org/drawingml/2006/picture">
                      <pic:pic xmlns:pic="http://schemas.openxmlformats.org/drawingml/2006/picture">
                        <pic:nvPicPr>
                          <pic:cNvPr id="1726" name="矩形_3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81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1" name="矩形_6_SpCnt_7"/>
                  <wp:cNvGraphicFramePr/>
                  <a:graphic xmlns:a="http://schemas.openxmlformats.org/drawingml/2006/main">
                    <a:graphicData uri="http://schemas.openxmlformats.org/drawingml/2006/picture">
                      <pic:pic xmlns:pic="http://schemas.openxmlformats.org/drawingml/2006/picture">
                        <pic:nvPicPr>
                          <pic:cNvPr id="1741" name="矩形_6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6992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5" name="矩形_17_SpCnt_6"/>
                  <wp:cNvGraphicFramePr/>
                  <a:graphic xmlns:a="http://schemas.openxmlformats.org/drawingml/2006/main">
                    <a:graphicData uri="http://schemas.openxmlformats.org/drawingml/2006/picture">
                      <pic:pic xmlns:pic="http://schemas.openxmlformats.org/drawingml/2006/picture">
                        <pic:nvPicPr>
                          <pic:cNvPr id="1745" name="矩形_17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02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3" name="矩形_17_SpCnt_7"/>
                  <wp:cNvGraphicFramePr/>
                  <a:graphic xmlns:a="http://schemas.openxmlformats.org/drawingml/2006/main">
                    <a:graphicData uri="http://schemas.openxmlformats.org/drawingml/2006/picture">
                      <pic:pic xmlns:pic="http://schemas.openxmlformats.org/drawingml/2006/picture">
                        <pic:nvPicPr>
                          <pic:cNvPr id="1753" name="矩形_17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12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4" name="矩形_16_SpCnt_6"/>
                  <wp:cNvGraphicFramePr/>
                  <a:graphic xmlns:a="http://schemas.openxmlformats.org/drawingml/2006/main">
                    <a:graphicData uri="http://schemas.openxmlformats.org/drawingml/2006/picture">
                      <pic:pic xmlns:pic="http://schemas.openxmlformats.org/drawingml/2006/picture">
                        <pic:nvPicPr>
                          <pic:cNvPr id="1754" name="矩形_16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22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0" name="矩形_16_SpCnt_7"/>
                  <wp:cNvGraphicFramePr/>
                  <a:graphic xmlns:a="http://schemas.openxmlformats.org/drawingml/2006/main">
                    <a:graphicData uri="http://schemas.openxmlformats.org/drawingml/2006/picture">
                      <pic:pic xmlns:pic="http://schemas.openxmlformats.org/drawingml/2006/picture">
                        <pic:nvPicPr>
                          <pic:cNvPr id="1740" name="矩形_16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32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7" name="矩形_9_SpCnt_5"/>
                  <wp:cNvGraphicFramePr/>
                  <a:graphic xmlns:a="http://schemas.openxmlformats.org/drawingml/2006/main">
                    <a:graphicData uri="http://schemas.openxmlformats.org/drawingml/2006/picture">
                      <pic:pic xmlns:pic="http://schemas.openxmlformats.org/drawingml/2006/picture">
                        <pic:nvPicPr>
                          <pic:cNvPr id="1727" name="矩形_9_SpCnt_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432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24" name="矩形_4_SpCnt_5"/>
                  <wp:cNvGraphicFramePr/>
                  <a:graphic xmlns:a="http://schemas.openxmlformats.org/drawingml/2006/main">
                    <a:graphicData uri="http://schemas.openxmlformats.org/drawingml/2006/picture">
                      <pic:pic xmlns:pic="http://schemas.openxmlformats.org/drawingml/2006/picture">
                        <pic:nvPicPr>
                          <pic:cNvPr id="1724" name="矩形_4_SpCnt_5"/>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534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25" name="矩形_9_SpCnt_6"/>
                  <wp:cNvGraphicFramePr/>
                  <a:graphic xmlns:a="http://schemas.openxmlformats.org/drawingml/2006/main">
                    <a:graphicData uri="http://schemas.openxmlformats.org/drawingml/2006/picture">
                      <pic:pic xmlns:pic="http://schemas.openxmlformats.org/drawingml/2006/picture">
                        <pic:nvPicPr>
                          <pic:cNvPr id="1725" name="矩形_9_SpCnt_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63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6" name="矩形_6_SpCnt_8"/>
                  <wp:cNvGraphicFramePr/>
                  <a:graphic xmlns:a="http://schemas.openxmlformats.org/drawingml/2006/main">
                    <a:graphicData uri="http://schemas.openxmlformats.org/drawingml/2006/picture">
                      <pic:pic xmlns:pic="http://schemas.openxmlformats.org/drawingml/2006/picture">
                        <pic:nvPicPr>
                          <pic:cNvPr id="1746" name="矩形_6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73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2" name="矩形_4_SpCnt_6"/>
                  <wp:cNvGraphicFramePr/>
                  <a:graphic xmlns:a="http://schemas.openxmlformats.org/drawingml/2006/main">
                    <a:graphicData uri="http://schemas.openxmlformats.org/drawingml/2006/picture">
                      <pic:pic xmlns:pic="http://schemas.openxmlformats.org/drawingml/2006/picture">
                        <pic:nvPicPr>
                          <pic:cNvPr id="1742" name="矩形_4_SpCnt_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84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3" name="矩形_9_SpCnt_7"/>
                  <wp:cNvGraphicFramePr/>
                  <a:graphic xmlns:a="http://schemas.openxmlformats.org/drawingml/2006/main">
                    <a:graphicData uri="http://schemas.openxmlformats.org/drawingml/2006/picture">
                      <pic:pic xmlns:pic="http://schemas.openxmlformats.org/drawingml/2006/picture">
                        <pic:nvPicPr>
                          <pic:cNvPr id="1743" name="矩形_9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094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4" name="矩形_4_SpCnt_7"/>
                  <wp:cNvGraphicFramePr/>
                  <a:graphic xmlns:a="http://schemas.openxmlformats.org/drawingml/2006/main">
                    <a:graphicData uri="http://schemas.openxmlformats.org/drawingml/2006/picture">
                      <pic:pic xmlns:pic="http://schemas.openxmlformats.org/drawingml/2006/picture">
                        <pic:nvPicPr>
                          <pic:cNvPr id="1744" name="矩形_4_SpCnt_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04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7" name="矩形_3_SpCnt_9"/>
                  <wp:cNvGraphicFramePr/>
                  <a:graphic xmlns:a="http://schemas.openxmlformats.org/drawingml/2006/main">
                    <a:graphicData uri="http://schemas.openxmlformats.org/drawingml/2006/picture">
                      <pic:pic xmlns:pic="http://schemas.openxmlformats.org/drawingml/2006/picture">
                        <pic:nvPicPr>
                          <pic:cNvPr id="1747" name="矩形_3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14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8" name="矩形_6_SpCnt_9"/>
                  <wp:cNvGraphicFramePr/>
                  <a:graphic xmlns:a="http://schemas.openxmlformats.org/drawingml/2006/main">
                    <a:graphicData uri="http://schemas.openxmlformats.org/drawingml/2006/picture">
                      <pic:pic xmlns:pic="http://schemas.openxmlformats.org/drawingml/2006/picture">
                        <pic:nvPicPr>
                          <pic:cNvPr id="1728" name="矩形_6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25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5" name="矩形_17_SpCnt_8"/>
                  <wp:cNvGraphicFramePr/>
                  <a:graphic xmlns:a="http://schemas.openxmlformats.org/drawingml/2006/main">
                    <a:graphicData uri="http://schemas.openxmlformats.org/drawingml/2006/picture">
                      <pic:pic xmlns:pic="http://schemas.openxmlformats.org/drawingml/2006/picture">
                        <pic:nvPicPr>
                          <pic:cNvPr id="1735" name="矩形_17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35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6" name="矩形_16_SpCnt_8"/>
                  <wp:cNvGraphicFramePr/>
                  <a:graphic xmlns:a="http://schemas.openxmlformats.org/drawingml/2006/main">
                    <a:graphicData uri="http://schemas.openxmlformats.org/drawingml/2006/picture">
                      <pic:pic xmlns:pic="http://schemas.openxmlformats.org/drawingml/2006/picture">
                        <pic:nvPicPr>
                          <pic:cNvPr id="1736" name="矩形_16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45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7" name="矩形_3_SpCnt_10"/>
                  <wp:cNvGraphicFramePr/>
                  <a:graphic xmlns:a="http://schemas.openxmlformats.org/drawingml/2006/main">
                    <a:graphicData uri="http://schemas.openxmlformats.org/drawingml/2006/picture">
                      <pic:pic xmlns:pic="http://schemas.openxmlformats.org/drawingml/2006/picture">
                        <pic:nvPicPr>
                          <pic:cNvPr id="1737" name="矩形_3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55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8" name="矩形_4_SpCnt_8"/>
                  <wp:cNvGraphicFramePr/>
                  <a:graphic xmlns:a="http://schemas.openxmlformats.org/drawingml/2006/main">
                    <a:graphicData uri="http://schemas.openxmlformats.org/drawingml/2006/picture">
                      <pic:pic xmlns:pic="http://schemas.openxmlformats.org/drawingml/2006/picture">
                        <pic:nvPicPr>
                          <pic:cNvPr id="1748" name="矩形_4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66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49" name="矩形_9_SpCnt_8"/>
                  <wp:cNvGraphicFramePr/>
                  <a:graphic xmlns:a="http://schemas.openxmlformats.org/drawingml/2006/main">
                    <a:graphicData uri="http://schemas.openxmlformats.org/drawingml/2006/picture">
                      <pic:pic xmlns:pic="http://schemas.openxmlformats.org/drawingml/2006/picture">
                        <pic:nvPicPr>
                          <pic:cNvPr id="1749" name="矩形_9_SpCnt_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76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9" name="矩形_6_SpCnt_10"/>
                  <wp:cNvGraphicFramePr/>
                  <a:graphic xmlns:a="http://schemas.openxmlformats.org/drawingml/2006/main">
                    <a:graphicData uri="http://schemas.openxmlformats.org/drawingml/2006/picture">
                      <pic:pic xmlns:pic="http://schemas.openxmlformats.org/drawingml/2006/picture">
                        <pic:nvPicPr>
                          <pic:cNvPr id="1729" name="矩形_6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86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0" name="矩形_3_SpCnt_11"/>
                  <wp:cNvGraphicFramePr/>
                  <a:graphic xmlns:a="http://schemas.openxmlformats.org/drawingml/2006/main">
                    <a:graphicData uri="http://schemas.openxmlformats.org/drawingml/2006/picture">
                      <pic:pic xmlns:pic="http://schemas.openxmlformats.org/drawingml/2006/picture">
                        <pic:nvPicPr>
                          <pic:cNvPr id="1750" name="矩形_3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196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23" name="矩形_4_SpCnt_9"/>
                  <wp:cNvGraphicFramePr/>
                  <a:graphic xmlns:a="http://schemas.openxmlformats.org/drawingml/2006/main">
                    <a:graphicData uri="http://schemas.openxmlformats.org/drawingml/2006/picture">
                      <pic:pic xmlns:pic="http://schemas.openxmlformats.org/drawingml/2006/picture">
                        <pic:nvPicPr>
                          <pic:cNvPr id="1723" name="矩形_4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070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51" name="矩形_6_SpCnt_11"/>
                  <wp:cNvGraphicFramePr/>
                  <a:graphic xmlns:a="http://schemas.openxmlformats.org/drawingml/2006/main">
                    <a:graphicData uri="http://schemas.openxmlformats.org/drawingml/2006/picture">
                      <pic:pic xmlns:pic="http://schemas.openxmlformats.org/drawingml/2006/picture">
                        <pic:nvPicPr>
                          <pic:cNvPr id="1751" name="矩形_6_SpCnt_1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17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2" name="矩形_3_SpCnt_12"/>
                  <wp:cNvGraphicFramePr/>
                  <a:graphic xmlns:a="http://schemas.openxmlformats.org/drawingml/2006/main">
                    <a:graphicData uri="http://schemas.openxmlformats.org/drawingml/2006/picture">
                      <pic:pic xmlns:pic="http://schemas.openxmlformats.org/drawingml/2006/picture">
                        <pic:nvPicPr>
                          <pic:cNvPr id="1752" name="矩形_3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27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0" name="矩形_17_SpCnt_9"/>
                  <wp:cNvGraphicFramePr/>
                  <a:graphic xmlns:a="http://schemas.openxmlformats.org/drawingml/2006/main">
                    <a:graphicData uri="http://schemas.openxmlformats.org/drawingml/2006/picture">
                      <pic:pic xmlns:pic="http://schemas.openxmlformats.org/drawingml/2006/picture">
                        <pic:nvPicPr>
                          <pic:cNvPr id="1730" name="矩形_17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37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9" name="矩形_17_SpCnt_10"/>
                  <wp:cNvGraphicFramePr/>
                  <a:graphic xmlns:a="http://schemas.openxmlformats.org/drawingml/2006/main">
                    <a:graphicData uri="http://schemas.openxmlformats.org/drawingml/2006/picture">
                      <pic:pic xmlns:pic="http://schemas.openxmlformats.org/drawingml/2006/picture">
                        <pic:nvPicPr>
                          <pic:cNvPr id="1739" name="矩形_17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48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1" name="矩形_17_SpCnt_11"/>
                  <wp:cNvGraphicFramePr/>
                  <a:graphic xmlns:a="http://schemas.openxmlformats.org/drawingml/2006/main">
                    <a:graphicData uri="http://schemas.openxmlformats.org/drawingml/2006/picture">
                      <pic:pic xmlns:pic="http://schemas.openxmlformats.org/drawingml/2006/picture">
                        <pic:nvPicPr>
                          <pic:cNvPr id="1731" name="矩形_17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58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2" name="矩形_16_SpCnt_9"/>
                  <wp:cNvGraphicFramePr/>
                  <a:graphic xmlns:a="http://schemas.openxmlformats.org/drawingml/2006/main">
                    <a:graphicData uri="http://schemas.openxmlformats.org/drawingml/2006/picture">
                      <pic:pic xmlns:pic="http://schemas.openxmlformats.org/drawingml/2006/picture">
                        <pic:nvPicPr>
                          <pic:cNvPr id="1732" name="矩形_16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68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3" name="矩形_16_SpCnt_10"/>
                  <wp:cNvGraphicFramePr/>
                  <a:graphic xmlns:a="http://schemas.openxmlformats.org/drawingml/2006/main">
                    <a:graphicData uri="http://schemas.openxmlformats.org/drawingml/2006/picture">
                      <pic:pic xmlns:pic="http://schemas.openxmlformats.org/drawingml/2006/picture">
                        <pic:nvPicPr>
                          <pic:cNvPr id="1733" name="矩形_16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78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4" name="矩形_9_SpCnt_9"/>
                  <wp:cNvGraphicFramePr/>
                  <a:graphic xmlns:a="http://schemas.openxmlformats.org/drawingml/2006/main">
                    <a:graphicData uri="http://schemas.openxmlformats.org/drawingml/2006/picture">
                      <pic:pic xmlns:pic="http://schemas.openxmlformats.org/drawingml/2006/picture">
                        <pic:nvPicPr>
                          <pic:cNvPr id="1734" name="矩形_9_SpCnt_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88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38" name="矩形_6_SpCnt_12"/>
                  <wp:cNvGraphicFramePr/>
                  <a:graphic xmlns:a="http://schemas.openxmlformats.org/drawingml/2006/main">
                    <a:graphicData uri="http://schemas.openxmlformats.org/drawingml/2006/picture">
                      <pic:pic xmlns:pic="http://schemas.openxmlformats.org/drawingml/2006/picture">
                        <pic:nvPicPr>
                          <pic:cNvPr id="1738" name="矩形_6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299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4" name="矩形_16_SpCnt_11"/>
                  <wp:cNvGraphicFramePr/>
                  <a:graphic xmlns:a="http://schemas.openxmlformats.org/drawingml/2006/main">
                    <a:graphicData uri="http://schemas.openxmlformats.org/drawingml/2006/picture">
                      <pic:pic xmlns:pic="http://schemas.openxmlformats.org/drawingml/2006/picture">
                        <pic:nvPicPr>
                          <pic:cNvPr id="1764" name="矩形_16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09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7" name="矩形_9_SpCnt_10"/>
                  <wp:cNvGraphicFramePr/>
                  <a:graphic xmlns:a="http://schemas.openxmlformats.org/drawingml/2006/main">
                    <a:graphicData uri="http://schemas.openxmlformats.org/drawingml/2006/picture">
                      <pic:pic xmlns:pic="http://schemas.openxmlformats.org/drawingml/2006/picture">
                        <pic:nvPicPr>
                          <pic:cNvPr id="1767" name="矩形_9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19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5" name="矩形_4_SpCnt_10"/>
                  <wp:cNvGraphicFramePr/>
                  <a:graphic xmlns:a="http://schemas.openxmlformats.org/drawingml/2006/main">
                    <a:graphicData uri="http://schemas.openxmlformats.org/drawingml/2006/picture">
                      <pic:pic xmlns:pic="http://schemas.openxmlformats.org/drawingml/2006/picture">
                        <pic:nvPicPr>
                          <pic:cNvPr id="1755" name="矩形_4_SpCnt_1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29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9" name="矩形_3_SpCnt_13"/>
                  <wp:cNvGraphicFramePr/>
                  <a:graphic xmlns:a="http://schemas.openxmlformats.org/drawingml/2006/main">
                    <a:graphicData uri="http://schemas.openxmlformats.org/drawingml/2006/picture">
                      <pic:pic xmlns:pic="http://schemas.openxmlformats.org/drawingml/2006/picture">
                        <pic:nvPicPr>
                          <pic:cNvPr id="1759" name="矩形_3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40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6" name="矩形_6_SpCnt_13"/>
                  <wp:cNvGraphicFramePr/>
                  <a:graphic xmlns:a="http://schemas.openxmlformats.org/drawingml/2006/main">
                    <a:graphicData uri="http://schemas.openxmlformats.org/drawingml/2006/picture">
                      <pic:pic xmlns:pic="http://schemas.openxmlformats.org/drawingml/2006/picture">
                        <pic:nvPicPr>
                          <pic:cNvPr id="1766" name="矩形_6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50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6" name="矩形_17_SpCnt_12"/>
                  <wp:cNvGraphicFramePr/>
                  <a:graphic xmlns:a="http://schemas.openxmlformats.org/drawingml/2006/main">
                    <a:graphicData uri="http://schemas.openxmlformats.org/drawingml/2006/picture">
                      <pic:pic xmlns:pic="http://schemas.openxmlformats.org/drawingml/2006/picture">
                        <pic:nvPicPr>
                          <pic:cNvPr id="1756" name="矩形_17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606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63" name="矩形_3_SpCnt_14"/>
                  <wp:cNvGraphicFramePr/>
                  <a:graphic xmlns:a="http://schemas.openxmlformats.org/drawingml/2006/main">
                    <a:graphicData uri="http://schemas.openxmlformats.org/drawingml/2006/picture">
                      <pic:pic xmlns:pic="http://schemas.openxmlformats.org/drawingml/2006/picture">
                        <pic:nvPicPr>
                          <pic:cNvPr id="1763" name="矩形_3_SpCnt_1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708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57" name="矩形_4_SpCnt_11"/>
                  <wp:cNvGraphicFramePr/>
                  <a:graphic xmlns:a="http://schemas.openxmlformats.org/drawingml/2006/main">
                    <a:graphicData uri="http://schemas.openxmlformats.org/drawingml/2006/picture">
                      <pic:pic xmlns:pic="http://schemas.openxmlformats.org/drawingml/2006/picture">
                        <pic:nvPicPr>
                          <pic:cNvPr id="1757" name="矩形_4_SpCnt_1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81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58" name="矩形_16_SpCnt_12"/>
                  <wp:cNvGraphicFramePr/>
                  <a:graphic xmlns:a="http://schemas.openxmlformats.org/drawingml/2006/main">
                    <a:graphicData uri="http://schemas.openxmlformats.org/drawingml/2006/picture">
                      <pic:pic xmlns:pic="http://schemas.openxmlformats.org/drawingml/2006/picture">
                        <pic:nvPicPr>
                          <pic:cNvPr id="1758" name="矩形_16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391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0" name="矩形_9_SpCnt_11"/>
                  <wp:cNvGraphicFramePr/>
                  <a:graphic xmlns:a="http://schemas.openxmlformats.org/drawingml/2006/main">
                    <a:graphicData uri="http://schemas.openxmlformats.org/drawingml/2006/picture">
                      <pic:pic xmlns:pic="http://schemas.openxmlformats.org/drawingml/2006/picture">
                        <pic:nvPicPr>
                          <pic:cNvPr id="1760" name="矩形_9_SpCnt_1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01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5" name="矩形_4_SpCnt_12"/>
                  <wp:cNvGraphicFramePr/>
                  <a:graphic xmlns:a="http://schemas.openxmlformats.org/drawingml/2006/main">
                    <a:graphicData uri="http://schemas.openxmlformats.org/drawingml/2006/picture">
                      <pic:pic xmlns:pic="http://schemas.openxmlformats.org/drawingml/2006/picture">
                        <pic:nvPicPr>
                          <pic:cNvPr id="1765" name="矩形_4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11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1" name="矩形_9_SpCnt_12"/>
                  <wp:cNvGraphicFramePr/>
                  <a:graphic xmlns:a="http://schemas.openxmlformats.org/drawingml/2006/main">
                    <a:graphicData uri="http://schemas.openxmlformats.org/drawingml/2006/picture">
                      <pic:pic xmlns:pic="http://schemas.openxmlformats.org/drawingml/2006/picture">
                        <pic:nvPicPr>
                          <pic:cNvPr id="1761" name="矩形_9_SpCnt_1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22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2" name="矩形_6_SpCnt_14"/>
                  <wp:cNvGraphicFramePr/>
                  <a:graphic xmlns:a="http://schemas.openxmlformats.org/drawingml/2006/main">
                    <a:graphicData uri="http://schemas.openxmlformats.org/drawingml/2006/picture">
                      <pic:pic xmlns:pic="http://schemas.openxmlformats.org/drawingml/2006/picture">
                        <pic:nvPicPr>
                          <pic:cNvPr id="1762" name="矩形_6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32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8" name="矩形_3_SpCnt_15"/>
                  <wp:cNvGraphicFramePr/>
                  <a:graphic xmlns:a="http://schemas.openxmlformats.org/drawingml/2006/main">
                    <a:graphicData uri="http://schemas.openxmlformats.org/drawingml/2006/picture">
                      <pic:pic xmlns:pic="http://schemas.openxmlformats.org/drawingml/2006/picture">
                        <pic:nvPicPr>
                          <pic:cNvPr id="1778" name="矩形_3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42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0" name="矩形_4_SpCnt_13"/>
                  <wp:cNvGraphicFramePr/>
                  <a:graphic xmlns:a="http://schemas.openxmlformats.org/drawingml/2006/main">
                    <a:graphicData uri="http://schemas.openxmlformats.org/drawingml/2006/picture">
                      <pic:pic xmlns:pic="http://schemas.openxmlformats.org/drawingml/2006/picture">
                        <pic:nvPicPr>
                          <pic:cNvPr id="1790" name="矩形_4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52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1" name="矩形_3_SpCnt_16"/>
                  <wp:cNvGraphicFramePr/>
                  <a:graphic xmlns:a="http://schemas.openxmlformats.org/drawingml/2006/main">
                    <a:graphicData uri="http://schemas.openxmlformats.org/drawingml/2006/picture">
                      <pic:pic xmlns:pic="http://schemas.openxmlformats.org/drawingml/2006/picture">
                        <pic:nvPicPr>
                          <pic:cNvPr id="1771" name="矩形_3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63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3" name="矩形_6_SpCnt_15"/>
                  <wp:cNvGraphicFramePr/>
                  <a:graphic xmlns:a="http://schemas.openxmlformats.org/drawingml/2006/main">
                    <a:graphicData uri="http://schemas.openxmlformats.org/drawingml/2006/picture">
                      <pic:pic xmlns:pic="http://schemas.openxmlformats.org/drawingml/2006/picture">
                        <pic:nvPicPr>
                          <pic:cNvPr id="1773" name="矩形_6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73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9" name="矩形_17_SpCnt_13"/>
                  <wp:cNvGraphicFramePr/>
                  <a:graphic xmlns:a="http://schemas.openxmlformats.org/drawingml/2006/main">
                    <a:graphicData uri="http://schemas.openxmlformats.org/drawingml/2006/picture">
                      <pic:pic xmlns:pic="http://schemas.openxmlformats.org/drawingml/2006/picture">
                        <pic:nvPicPr>
                          <pic:cNvPr id="1779" name="矩形_17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83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2" name="矩形_17_SpCnt_14"/>
                  <wp:cNvGraphicFramePr/>
                  <a:graphic xmlns:a="http://schemas.openxmlformats.org/drawingml/2006/main">
                    <a:graphicData uri="http://schemas.openxmlformats.org/drawingml/2006/picture">
                      <pic:pic xmlns:pic="http://schemas.openxmlformats.org/drawingml/2006/picture">
                        <pic:nvPicPr>
                          <pic:cNvPr id="1782" name="矩形_17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493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1" name="矩形_16_SpCnt_13"/>
                  <wp:cNvGraphicFramePr/>
                  <a:graphic xmlns:a="http://schemas.openxmlformats.org/drawingml/2006/main">
                    <a:graphicData uri="http://schemas.openxmlformats.org/drawingml/2006/picture">
                      <pic:pic xmlns:pic="http://schemas.openxmlformats.org/drawingml/2006/picture">
                        <pic:nvPicPr>
                          <pic:cNvPr id="1791" name="矩形_16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04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3" name="矩形_16_SpCnt_14"/>
                  <wp:cNvGraphicFramePr/>
                  <a:graphic xmlns:a="http://schemas.openxmlformats.org/drawingml/2006/main">
                    <a:graphicData uri="http://schemas.openxmlformats.org/drawingml/2006/picture">
                      <pic:pic xmlns:pic="http://schemas.openxmlformats.org/drawingml/2006/picture">
                        <pic:nvPicPr>
                          <pic:cNvPr id="1783" name="矩形_16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14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69" name="矩形_9_SpCnt_13"/>
                  <wp:cNvGraphicFramePr/>
                  <a:graphic xmlns:a="http://schemas.openxmlformats.org/drawingml/2006/main">
                    <a:graphicData uri="http://schemas.openxmlformats.org/drawingml/2006/picture">
                      <pic:pic xmlns:pic="http://schemas.openxmlformats.org/drawingml/2006/picture">
                        <pic:nvPicPr>
                          <pic:cNvPr id="1769" name="矩形_9_SpCnt_1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244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98" name="矩形_3_SpCnt_17"/>
                  <wp:cNvGraphicFramePr/>
                  <a:graphic xmlns:a="http://schemas.openxmlformats.org/drawingml/2006/main">
                    <a:graphicData uri="http://schemas.openxmlformats.org/drawingml/2006/picture">
                      <pic:pic xmlns:pic="http://schemas.openxmlformats.org/drawingml/2006/picture">
                        <pic:nvPicPr>
                          <pic:cNvPr id="1798" name="矩形_3_SpCnt_1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34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9" name="矩形_6_SpCnt_16"/>
                  <wp:cNvGraphicFramePr/>
                  <a:graphic xmlns:a="http://schemas.openxmlformats.org/drawingml/2006/main">
                    <a:graphicData uri="http://schemas.openxmlformats.org/drawingml/2006/picture">
                      <pic:pic xmlns:pic="http://schemas.openxmlformats.org/drawingml/2006/picture">
                        <pic:nvPicPr>
                          <pic:cNvPr id="1799" name="矩形_6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44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2" name="矩形_4_SpCnt_14"/>
                  <wp:cNvGraphicFramePr/>
                  <a:graphic xmlns:a="http://schemas.openxmlformats.org/drawingml/2006/main">
                    <a:graphicData uri="http://schemas.openxmlformats.org/drawingml/2006/picture">
                      <pic:pic xmlns:pic="http://schemas.openxmlformats.org/drawingml/2006/picture">
                        <pic:nvPicPr>
                          <pic:cNvPr id="1792" name="矩形_4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55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8" name="矩形_9_SpCnt_14"/>
                  <wp:cNvGraphicFramePr/>
                  <a:graphic xmlns:a="http://schemas.openxmlformats.org/drawingml/2006/main">
                    <a:graphicData uri="http://schemas.openxmlformats.org/drawingml/2006/picture">
                      <pic:pic xmlns:pic="http://schemas.openxmlformats.org/drawingml/2006/picture">
                        <pic:nvPicPr>
                          <pic:cNvPr id="1788" name="矩形_9_SpCnt_1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65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3" name="矩形_4_SpCnt_15"/>
                  <wp:cNvGraphicFramePr/>
                  <a:graphic xmlns:a="http://schemas.openxmlformats.org/drawingml/2006/main">
                    <a:graphicData uri="http://schemas.openxmlformats.org/drawingml/2006/picture">
                      <pic:pic xmlns:pic="http://schemas.openxmlformats.org/drawingml/2006/picture">
                        <pic:nvPicPr>
                          <pic:cNvPr id="1793" name="矩形_4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75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2" name="矩形_3_SpCnt_18"/>
                  <wp:cNvGraphicFramePr/>
                  <a:graphic xmlns:a="http://schemas.openxmlformats.org/drawingml/2006/main">
                    <a:graphicData uri="http://schemas.openxmlformats.org/drawingml/2006/picture">
                      <pic:pic xmlns:pic="http://schemas.openxmlformats.org/drawingml/2006/picture">
                        <pic:nvPicPr>
                          <pic:cNvPr id="1772" name="矩形_3_SpCnt_1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85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4" name="矩形_6_SpCnt_17"/>
                  <wp:cNvGraphicFramePr/>
                  <a:graphic xmlns:a="http://schemas.openxmlformats.org/drawingml/2006/main">
                    <a:graphicData uri="http://schemas.openxmlformats.org/drawingml/2006/picture">
                      <pic:pic xmlns:pic="http://schemas.openxmlformats.org/drawingml/2006/picture">
                        <pic:nvPicPr>
                          <pic:cNvPr id="1774" name="矩形_6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596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0" name="矩形_17_SpCnt_15"/>
                  <wp:cNvGraphicFramePr/>
                  <a:graphic xmlns:a="http://schemas.openxmlformats.org/drawingml/2006/main">
                    <a:graphicData uri="http://schemas.openxmlformats.org/drawingml/2006/picture">
                      <pic:pic xmlns:pic="http://schemas.openxmlformats.org/drawingml/2006/picture">
                        <pic:nvPicPr>
                          <pic:cNvPr id="1770" name="矩形_17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06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4" name="矩形_16_SpCnt_15"/>
                  <wp:cNvGraphicFramePr/>
                  <a:graphic xmlns:a="http://schemas.openxmlformats.org/drawingml/2006/main">
                    <a:graphicData uri="http://schemas.openxmlformats.org/drawingml/2006/picture">
                      <pic:pic xmlns:pic="http://schemas.openxmlformats.org/drawingml/2006/picture">
                        <pic:nvPicPr>
                          <pic:cNvPr id="1794" name="矩形_16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16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5" name="矩形_3_SpCnt_19"/>
                  <wp:cNvGraphicFramePr/>
                  <a:graphic xmlns:a="http://schemas.openxmlformats.org/drawingml/2006/main">
                    <a:graphicData uri="http://schemas.openxmlformats.org/drawingml/2006/picture">
                      <pic:pic xmlns:pic="http://schemas.openxmlformats.org/drawingml/2006/picture">
                        <pic:nvPicPr>
                          <pic:cNvPr id="1775" name="矩形_3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26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7" name="矩形_4_SpCnt_16"/>
                  <wp:cNvGraphicFramePr/>
                  <a:graphic xmlns:a="http://schemas.openxmlformats.org/drawingml/2006/main">
                    <a:graphicData uri="http://schemas.openxmlformats.org/drawingml/2006/picture">
                      <pic:pic xmlns:pic="http://schemas.openxmlformats.org/drawingml/2006/picture">
                        <pic:nvPicPr>
                          <pic:cNvPr id="1797" name="矩形_4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37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5" name="矩形_9_SpCnt_15"/>
                  <wp:cNvGraphicFramePr/>
                  <a:graphic xmlns:a="http://schemas.openxmlformats.org/drawingml/2006/main">
                    <a:graphicData uri="http://schemas.openxmlformats.org/drawingml/2006/picture">
                      <pic:pic xmlns:pic="http://schemas.openxmlformats.org/drawingml/2006/picture">
                        <pic:nvPicPr>
                          <pic:cNvPr id="1795" name="矩形_9_SpCnt_1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47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6" name="矩形_6_SpCnt_18"/>
                  <wp:cNvGraphicFramePr/>
                  <a:graphic xmlns:a="http://schemas.openxmlformats.org/drawingml/2006/main">
                    <a:graphicData uri="http://schemas.openxmlformats.org/drawingml/2006/picture">
                      <pic:pic xmlns:pic="http://schemas.openxmlformats.org/drawingml/2006/picture">
                        <pic:nvPicPr>
                          <pic:cNvPr id="1776" name="矩形_6_SpCnt_1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57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77" name="矩形_3_SpCnt_20"/>
                  <wp:cNvGraphicFramePr/>
                  <a:graphic xmlns:a="http://schemas.openxmlformats.org/drawingml/2006/main">
                    <a:graphicData uri="http://schemas.openxmlformats.org/drawingml/2006/picture">
                      <pic:pic xmlns:pic="http://schemas.openxmlformats.org/drawingml/2006/picture">
                        <pic:nvPicPr>
                          <pic:cNvPr id="1777" name="矩形_3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67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96" name="矩形_4_SpCnt_17"/>
                  <wp:cNvGraphicFramePr/>
                  <a:graphic xmlns:a="http://schemas.openxmlformats.org/drawingml/2006/main">
                    <a:graphicData uri="http://schemas.openxmlformats.org/drawingml/2006/picture">
                      <pic:pic xmlns:pic="http://schemas.openxmlformats.org/drawingml/2006/picture">
                        <pic:nvPicPr>
                          <pic:cNvPr id="1796" name="矩形_4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780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68" name="矩形_17_SpCnt_16"/>
                  <wp:cNvGraphicFramePr/>
                  <a:graphic xmlns:a="http://schemas.openxmlformats.org/drawingml/2006/main">
                    <a:graphicData uri="http://schemas.openxmlformats.org/drawingml/2006/picture">
                      <pic:pic xmlns:pic="http://schemas.openxmlformats.org/drawingml/2006/picture">
                        <pic:nvPicPr>
                          <pic:cNvPr id="1768" name="矩形_17_SpCnt_1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883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89" name="矩形_17_SpCnt_17"/>
                  <wp:cNvGraphicFramePr/>
                  <a:graphic xmlns:a="http://schemas.openxmlformats.org/drawingml/2006/main">
                    <a:graphicData uri="http://schemas.openxmlformats.org/drawingml/2006/picture">
                      <pic:pic xmlns:pic="http://schemas.openxmlformats.org/drawingml/2006/picture">
                        <pic:nvPicPr>
                          <pic:cNvPr id="1789" name="矩形_17_SpCnt_1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6985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80" name="矩形_17_SpCnt_18"/>
                  <wp:cNvGraphicFramePr/>
                  <a:graphic xmlns:a="http://schemas.openxmlformats.org/drawingml/2006/main">
                    <a:graphicData uri="http://schemas.openxmlformats.org/drawingml/2006/picture">
                      <pic:pic xmlns:pic="http://schemas.openxmlformats.org/drawingml/2006/picture">
                        <pic:nvPicPr>
                          <pic:cNvPr id="1780" name="矩形_17_SpCnt_1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08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1" name="矩形_3_SpCnt_21"/>
                  <wp:cNvGraphicFramePr/>
                  <a:graphic xmlns:a="http://schemas.openxmlformats.org/drawingml/2006/main">
                    <a:graphicData uri="http://schemas.openxmlformats.org/drawingml/2006/picture">
                      <pic:pic xmlns:pic="http://schemas.openxmlformats.org/drawingml/2006/picture">
                        <pic:nvPicPr>
                          <pic:cNvPr id="1781" name="矩形_3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190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784" name="矩形_17_SpCnt_19"/>
                  <wp:cNvGraphicFramePr/>
                  <a:graphic xmlns:a="http://schemas.openxmlformats.org/drawingml/2006/main">
                    <a:graphicData uri="http://schemas.openxmlformats.org/drawingml/2006/picture">
                      <pic:pic xmlns:pic="http://schemas.openxmlformats.org/drawingml/2006/picture">
                        <pic:nvPicPr>
                          <pic:cNvPr id="1784" name="矩形_17_SpCnt_19"/>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29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5" name="矩形_17_SpCnt_20"/>
                  <wp:cNvGraphicFramePr/>
                  <a:graphic xmlns:a="http://schemas.openxmlformats.org/drawingml/2006/main">
                    <a:graphicData uri="http://schemas.openxmlformats.org/drawingml/2006/picture">
                      <pic:pic xmlns:pic="http://schemas.openxmlformats.org/drawingml/2006/picture">
                        <pic:nvPicPr>
                          <pic:cNvPr id="1785" name="矩形_17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39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6" name="矩形_17_SpCnt_21"/>
                  <wp:cNvGraphicFramePr/>
                  <a:graphic xmlns:a="http://schemas.openxmlformats.org/drawingml/2006/main">
                    <a:graphicData uri="http://schemas.openxmlformats.org/drawingml/2006/picture">
                      <pic:pic xmlns:pic="http://schemas.openxmlformats.org/drawingml/2006/picture">
                        <pic:nvPicPr>
                          <pic:cNvPr id="1786" name="矩形_17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49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787" name="矩形_16_SpCnt_16"/>
                  <wp:cNvGraphicFramePr/>
                  <a:graphic xmlns:a="http://schemas.openxmlformats.org/drawingml/2006/main">
                    <a:graphicData uri="http://schemas.openxmlformats.org/drawingml/2006/picture">
                      <pic:pic xmlns:pic="http://schemas.openxmlformats.org/drawingml/2006/picture">
                        <pic:nvPicPr>
                          <pic:cNvPr id="1787" name="矩形_16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60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9" name="矩形_16_SpCnt_17"/>
                  <wp:cNvGraphicFramePr/>
                  <a:graphic xmlns:a="http://schemas.openxmlformats.org/drawingml/2006/main">
                    <a:graphicData uri="http://schemas.openxmlformats.org/drawingml/2006/picture">
                      <pic:pic xmlns:pic="http://schemas.openxmlformats.org/drawingml/2006/picture">
                        <pic:nvPicPr>
                          <pic:cNvPr id="1829" name="矩形_16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70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1" name="矩形_9_SpCnt_16"/>
                  <wp:cNvGraphicFramePr/>
                  <a:graphic xmlns:a="http://schemas.openxmlformats.org/drawingml/2006/main">
                    <a:graphicData uri="http://schemas.openxmlformats.org/drawingml/2006/picture">
                      <pic:pic xmlns:pic="http://schemas.openxmlformats.org/drawingml/2006/picture">
                        <pic:nvPicPr>
                          <pic:cNvPr id="1801" name="矩形_9_SpCnt_1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80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4" name="矩形_6_SpCnt_19"/>
                  <wp:cNvGraphicFramePr/>
                  <a:graphic xmlns:a="http://schemas.openxmlformats.org/drawingml/2006/main">
                    <a:graphicData uri="http://schemas.openxmlformats.org/drawingml/2006/picture">
                      <pic:pic xmlns:pic="http://schemas.openxmlformats.org/drawingml/2006/picture">
                        <pic:nvPicPr>
                          <pic:cNvPr id="1804" name="矩形_6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7907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03" name="矩形_16_SpCnt_18"/>
                  <wp:cNvGraphicFramePr/>
                  <a:graphic xmlns:a="http://schemas.openxmlformats.org/drawingml/2006/main">
                    <a:graphicData uri="http://schemas.openxmlformats.org/drawingml/2006/picture">
                      <pic:pic xmlns:pic="http://schemas.openxmlformats.org/drawingml/2006/picture">
                        <pic:nvPicPr>
                          <pic:cNvPr id="1803" name="矩形_16_SpCnt_1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00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5" name="矩形_9_SpCnt_17"/>
                  <wp:cNvGraphicFramePr/>
                  <a:graphic xmlns:a="http://schemas.openxmlformats.org/drawingml/2006/main">
                    <a:graphicData uri="http://schemas.openxmlformats.org/drawingml/2006/picture">
                      <pic:pic xmlns:pic="http://schemas.openxmlformats.org/drawingml/2006/picture">
                        <pic:nvPicPr>
                          <pic:cNvPr id="1805" name="矩形_9_SpCnt_1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11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0" name="矩形_4_SpCnt_18"/>
                  <wp:cNvGraphicFramePr/>
                  <a:graphic xmlns:a="http://schemas.openxmlformats.org/drawingml/2006/main">
                    <a:graphicData uri="http://schemas.openxmlformats.org/drawingml/2006/picture">
                      <pic:pic xmlns:pic="http://schemas.openxmlformats.org/drawingml/2006/picture">
                        <pic:nvPicPr>
                          <pic:cNvPr id="1810" name="矩形_4_SpCnt_1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21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4" name="矩形_3_SpCnt_22"/>
                  <wp:cNvGraphicFramePr/>
                  <a:graphic xmlns:a="http://schemas.openxmlformats.org/drawingml/2006/main">
                    <a:graphicData uri="http://schemas.openxmlformats.org/drawingml/2006/picture">
                      <pic:pic xmlns:pic="http://schemas.openxmlformats.org/drawingml/2006/picture">
                        <pic:nvPicPr>
                          <pic:cNvPr id="1824" name="矩形_3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31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2" name="矩形_6_SpCnt_20"/>
                  <wp:cNvGraphicFramePr/>
                  <a:graphic xmlns:a="http://schemas.openxmlformats.org/drawingml/2006/main">
                    <a:graphicData uri="http://schemas.openxmlformats.org/drawingml/2006/picture">
                      <pic:pic xmlns:pic="http://schemas.openxmlformats.org/drawingml/2006/picture">
                        <pic:nvPicPr>
                          <pic:cNvPr id="1802" name="矩形_6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41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2" name="矩形_17_SpCnt_22"/>
                  <wp:cNvGraphicFramePr/>
                  <a:graphic xmlns:a="http://schemas.openxmlformats.org/drawingml/2006/main">
                    <a:graphicData uri="http://schemas.openxmlformats.org/drawingml/2006/picture">
                      <pic:pic xmlns:pic="http://schemas.openxmlformats.org/drawingml/2006/picture">
                        <pic:nvPicPr>
                          <pic:cNvPr id="1822" name="矩形_17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521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06" name="矩形_16_SpCnt_19"/>
                  <wp:cNvGraphicFramePr/>
                  <a:graphic xmlns:a="http://schemas.openxmlformats.org/drawingml/2006/main">
                    <a:graphicData uri="http://schemas.openxmlformats.org/drawingml/2006/picture">
                      <pic:pic xmlns:pic="http://schemas.openxmlformats.org/drawingml/2006/picture">
                        <pic:nvPicPr>
                          <pic:cNvPr id="1806" name="矩形_16_SpCnt_19"/>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62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0" name="矩形_16_SpCnt_20"/>
                  <wp:cNvGraphicFramePr/>
                  <a:graphic xmlns:a="http://schemas.openxmlformats.org/drawingml/2006/main">
                    <a:graphicData uri="http://schemas.openxmlformats.org/drawingml/2006/picture">
                      <pic:pic xmlns:pic="http://schemas.openxmlformats.org/drawingml/2006/picture">
                        <pic:nvPicPr>
                          <pic:cNvPr id="1830" name="矩形_16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726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13" name="矩形_9_SpCnt_18"/>
                  <wp:cNvGraphicFramePr/>
                  <a:graphic xmlns:a="http://schemas.openxmlformats.org/drawingml/2006/main">
                    <a:graphicData uri="http://schemas.openxmlformats.org/drawingml/2006/picture">
                      <pic:pic xmlns:pic="http://schemas.openxmlformats.org/drawingml/2006/picture">
                        <pic:nvPicPr>
                          <pic:cNvPr id="1813" name="矩形_9_SpCnt_1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82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7" name="矩形_4_SpCnt_19"/>
                  <wp:cNvGraphicFramePr/>
                  <a:graphic xmlns:a="http://schemas.openxmlformats.org/drawingml/2006/main">
                    <a:graphicData uri="http://schemas.openxmlformats.org/drawingml/2006/picture">
                      <pic:pic xmlns:pic="http://schemas.openxmlformats.org/drawingml/2006/picture">
                        <pic:nvPicPr>
                          <pic:cNvPr id="1807" name="矩形_4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893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8" name="矩形_9_SpCnt_19"/>
                  <wp:cNvGraphicFramePr/>
                  <a:graphic xmlns:a="http://schemas.openxmlformats.org/drawingml/2006/main">
                    <a:graphicData uri="http://schemas.openxmlformats.org/drawingml/2006/picture">
                      <pic:pic xmlns:pic="http://schemas.openxmlformats.org/drawingml/2006/picture">
                        <pic:nvPicPr>
                          <pic:cNvPr id="1808" name="矩形_9_SpCnt_1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03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1" name="矩形_6_SpCnt_21"/>
                  <wp:cNvGraphicFramePr/>
                  <a:graphic xmlns:a="http://schemas.openxmlformats.org/drawingml/2006/main">
                    <a:graphicData uri="http://schemas.openxmlformats.org/drawingml/2006/picture">
                      <pic:pic xmlns:pic="http://schemas.openxmlformats.org/drawingml/2006/picture">
                        <pic:nvPicPr>
                          <pic:cNvPr id="1831" name="矩形_6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13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1" name="矩形_3_SpCnt_23"/>
                  <wp:cNvGraphicFramePr/>
                  <a:graphic xmlns:a="http://schemas.openxmlformats.org/drawingml/2006/main">
                    <a:graphicData uri="http://schemas.openxmlformats.org/drawingml/2006/picture">
                      <pic:pic xmlns:pic="http://schemas.openxmlformats.org/drawingml/2006/picture">
                        <pic:nvPicPr>
                          <pic:cNvPr id="1811" name="矩形_3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23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4" name="矩形_4_SpCnt_20"/>
                  <wp:cNvGraphicFramePr/>
                  <a:graphic xmlns:a="http://schemas.openxmlformats.org/drawingml/2006/main">
                    <a:graphicData uri="http://schemas.openxmlformats.org/drawingml/2006/picture">
                      <pic:pic xmlns:pic="http://schemas.openxmlformats.org/drawingml/2006/picture">
                        <pic:nvPicPr>
                          <pic:cNvPr id="1814" name="矩形_4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34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8" name="矩形_3_SpCnt_24"/>
                  <wp:cNvGraphicFramePr/>
                  <a:graphic xmlns:a="http://schemas.openxmlformats.org/drawingml/2006/main">
                    <a:graphicData uri="http://schemas.openxmlformats.org/drawingml/2006/picture">
                      <pic:pic xmlns:pic="http://schemas.openxmlformats.org/drawingml/2006/picture">
                        <pic:nvPicPr>
                          <pic:cNvPr id="1828" name="矩形_3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443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09" name="矩形_6_SpCnt_22"/>
                  <wp:cNvGraphicFramePr/>
                  <a:graphic xmlns:a="http://schemas.openxmlformats.org/drawingml/2006/main">
                    <a:graphicData uri="http://schemas.openxmlformats.org/drawingml/2006/picture">
                      <pic:pic xmlns:pic="http://schemas.openxmlformats.org/drawingml/2006/picture">
                        <pic:nvPicPr>
                          <pic:cNvPr id="1809" name="矩形_6_SpCnt_2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54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6" name="矩形_17_SpCnt_23"/>
                  <wp:cNvGraphicFramePr/>
                  <a:graphic xmlns:a="http://schemas.openxmlformats.org/drawingml/2006/main">
                    <a:graphicData uri="http://schemas.openxmlformats.org/drawingml/2006/picture">
                      <pic:pic xmlns:pic="http://schemas.openxmlformats.org/drawingml/2006/picture">
                        <pic:nvPicPr>
                          <pic:cNvPr id="1816" name="矩形_17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64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00" name="矩形_17_SpCnt_24"/>
                  <wp:cNvGraphicFramePr/>
                  <a:graphic xmlns:a="http://schemas.openxmlformats.org/drawingml/2006/main">
                    <a:graphicData uri="http://schemas.openxmlformats.org/drawingml/2006/picture">
                      <pic:pic xmlns:pic="http://schemas.openxmlformats.org/drawingml/2006/picture">
                        <pic:nvPicPr>
                          <pic:cNvPr id="1800" name="矩形_17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75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2" name="矩形_16_SpCnt_21"/>
                  <wp:cNvGraphicFramePr/>
                  <a:graphic xmlns:a="http://schemas.openxmlformats.org/drawingml/2006/main">
                    <a:graphicData uri="http://schemas.openxmlformats.org/drawingml/2006/picture">
                      <pic:pic xmlns:pic="http://schemas.openxmlformats.org/drawingml/2006/picture">
                        <pic:nvPicPr>
                          <pic:cNvPr id="1812" name="矩形_16_SpCnt_2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85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1" name="矩形_16_SpCnt_22"/>
                  <wp:cNvGraphicFramePr/>
                  <a:graphic xmlns:a="http://schemas.openxmlformats.org/drawingml/2006/main">
                    <a:graphicData uri="http://schemas.openxmlformats.org/drawingml/2006/picture">
                      <pic:pic xmlns:pic="http://schemas.openxmlformats.org/drawingml/2006/picture">
                        <pic:nvPicPr>
                          <pic:cNvPr id="1821" name="矩形_16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7995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5" name="矩形_9_SpCnt_20"/>
                  <wp:cNvGraphicFramePr/>
                  <a:graphic xmlns:a="http://schemas.openxmlformats.org/drawingml/2006/main">
                    <a:graphicData uri="http://schemas.openxmlformats.org/drawingml/2006/picture">
                      <pic:pic xmlns:pic="http://schemas.openxmlformats.org/drawingml/2006/picture">
                        <pic:nvPicPr>
                          <pic:cNvPr id="1815" name="矩形_9_SpCnt_2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05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17" name="矩形_16_SpCnt_23"/>
                  <wp:cNvGraphicFramePr/>
                  <a:graphic xmlns:a="http://schemas.openxmlformats.org/drawingml/2006/main">
                    <a:graphicData uri="http://schemas.openxmlformats.org/drawingml/2006/picture">
                      <pic:pic xmlns:pic="http://schemas.openxmlformats.org/drawingml/2006/picture">
                        <pic:nvPicPr>
                          <pic:cNvPr id="1817" name="矩形_16_SpCnt_23"/>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160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18" name="矩形_9_SpCnt_21"/>
                  <wp:cNvGraphicFramePr/>
                  <a:graphic xmlns:a="http://schemas.openxmlformats.org/drawingml/2006/main">
                    <a:graphicData uri="http://schemas.openxmlformats.org/drawingml/2006/picture">
                      <pic:pic xmlns:pic="http://schemas.openxmlformats.org/drawingml/2006/picture">
                        <pic:nvPicPr>
                          <pic:cNvPr id="1818" name="矩形_9_SpCnt_2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26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19" name="矩形_6_SpCnt_23"/>
                  <wp:cNvGraphicFramePr/>
                  <a:graphic xmlns:a="http://schemas.openxmlformats.org/drawingml/2006/main">
                    <a:graphicData uri="http://schemas.openxmlformats.org/drawingml/2006/picture">
                      <pic:pic xmlns:pic="http://schemas.openxmlformats.org/drawingml/2006/picture">
                        <pic:nvPicPr>
                          <pic:cNvPr id="1819" name="矩形_6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364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20" name="矩形_4_SpCnt_21"/>
                  <wp:cNvGraphicFramePr/>
                  <a:graphic xmlns:a="http://schemas.openxmlformats.org/drawingml/2006/main">
                    <a:graphicData uri="http://schemas.openxmlformats.org/drawingml/2006/picture">
                      <pic:pic xmlns:pic="http://schemas.openxmlformats.org/drawingml/2006/picture">
                        <pic:nvPicPr>
                          <pic:cNvPr id="1820" name="矩形_4_SpCnt_21"/>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46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3" name="矩形_9_SpCnt_22"/>
                  <wp:cNvGraphicFramePr/>
                  <a:graphic xmlns:a="http://schemas.openxmlformats.org/drawingml/2006/main">
                    <a:graphicData uri="http://schemas.openxmlformats.org/drawingml/2006/picture">
                      <pic:pic xmlns:pic="http://schemas.openxmlformats.org/drawingml/2006/picture">
                        <pic:nvPicPr>
                          <pic:cNvPr id="1823" name="矩形_9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56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5" name="矩形_4_SpCnt_22"/>
                  <wp:cNvGraphicFramePr/>
                  <a:graphic xmlns:a="http://schemas.openxmlformats.org/drawingml/2006/main">
                    <a:graphicData uri="http://schemas.openxmlformats.org/drawingml/2006/picture">
                      <pic:pic xmlns:pic="http://schemas.openxmlformats.org/drawingml/2006/picture">
                        <pic:nvPicPr>
                          <pic:cNvPr id="1825" name="矩形_4_SpCnt_2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67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6" name="矩形_3_SpCnt_25"/>
                  <wp:cNvGraphicFramePr/>
                  <a:graphic xmlns:a="http://schemas.openxmlformats.org/drawingml/2006/main">
                    <a:graphicData uri="http://schemas.openxmlformats.org/drawingml/2006/picture">
                      <pic:pic xmlns:pic="http://schemas.openxmlformats.org/drawingml/2006/picture">
                        <pic:nvPicPr>
                          <pic:cNvPr id="1826" name="矩形_3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77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27" name="矩形_6_SpCnt_24"/>
                  <wp:cNvGraphicFramePr/>
                  <a:graphic xmlns:a="http://schemas.openxmlformats.org/drawingml/2006/main">
                    <a:graphicData uri="http://schemas.openxmlformats.org/drawingml/2006/picture">
                      <pic:pic xmlns:pic="http://schemas.openxmlformats.org/drawingml/2006/picture">
                        <pic:nvPicPr>
                          <pic:cNvPr id="1827" name="矩形_6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87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3" name="矩形_17_SpCnt_25"/>
                  <wp:cNvGraphicFramePr/>
                  <a:graphic xmlns:a="http://schemas.openxmlformats.org/drawingml/2006/main">
                    <a:graphicData uri="http://schemas.openxmlformats.org/drawingml/2006/picture">
                      <pic:pic xmlns:pic="http://schemas.openxmlformats.org/drawingml/2006/picture">
                        <pic:nvPicPr>
                          <pic:cNvPr id="1833" name="矩形_17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097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5" name="矩形_16_SpCnt_24"/>
                  <wp:cNvGraphicFramePr/>
                  <a:graphic xmlns:a="http://schemas.openxmlformats.org/drawingml/2006/main">
                    <a:graphicData uri="http://schemas.openxmlformats.org/drawingml/2006/picture">
                      <pic:pic xmlns:pic="http://schemas.openxmlformats.org/drawingml/2006/picture">
                        <pic:nvPicPr>
                          <pic:cNvPr id="1855" name="矩形_16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081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62" name="矩形_3_SpCnt_26"/>
                  <wp:cNvGraphicFramePr/>
                  <a:graphic xmlns:a="http://schemas.openxmlformats.org/drawingml/2006/main">
                    <a:graphicData uri="http://schemas.openxmlformats.org/drawingml/2006/picture">
                      <pic:pic xmlns:pic="http://schemas.openxmlformats.org/drawingml/2006/picture">
                        <pic:nvPicPr>
                          <pic:cNvPr id="1862" name="矩形_3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18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3" name="矩形_4_SpCnt_23"/>
                  <wp:cNvGraphicFramePr/>
                  <a:graphic xmlns:a="http://schemas.openxmlformats.org/drawingml/2006/main">
                    <a:graphicData uri="http://schemas.openxmlformats.org/drawingml/2006/picture">
                      <pic:pic xmlns:pic="http://schemas.openxmlformats.org/drawingml/2006/picture">
                        <pic:nvPicPr>
                          <pic:cNvPr id="1863" name="矩形_4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28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0" name="矩形_9_SpCnt_23"/>
                  <wp:cNvGraphicFramePr/>
                  <a:graphic xmlns:a="http://schemas.openxmlformats.org/drawingml/2006/main">
                    <a:graphicData uri="http://schemas.openxmlformats.org/drawingml/2006/picture">
                      <pic:pic xmlns:pic="http://schemas.openxmlformats.org/drawingml/2006/picture">
                        <pic:nvPicPr>
                          <pic:cNvPr id="1840" name="矩形_9_SpCnt_2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38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7" name="矩形_6_SpCnt_25"/>
                  <wp:cNvGraphicFramePr/>
                  <a:graphic xmlns:a="http://schemas.openxmlformats.org/drawingml/2006/main">
                    <a:graphicData uri="http://schemas.openxmlformats.org/drawingml/2006/picture">
                      <pic:pic xmlns:pic="http://schemas.openxmlformats.org/drawingml/2006/picture">
                        <pic:nvPicPr>
                          <pic:cNvPr id="1837" name="矩形_6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49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7" name="矩形_3_SpCnt_27"/>
                  <wp:cNvGraphicFramePr/>
                  <a:graphic xmlns:a="http://schemas.openxmlformats.org/drawingml/2006/main">
                    <a:graphicData uri="http://schemas.openxmlformats.org/drawingml/2006/picture">
                      <pic:pic xmlns:pic="http://schemas.openxmlformats.org/drawingml/2006/picture">
                        <pic:nvPicPr>
                          <pic:cNvPr id="1847" name="矩形_3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59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5" name="矩形_4_SpCnt_24"/>
                  <wp:cNvGraphicFramePr/>
                  <a:graphic xmlns:a="http://schemas.openxmlformats.org/drawingml/2006/main">
                    <a:graphicData uri="http://schemas.openxmlformats.org/drawingml/2006/picture">
                      <pic:pic xmlns:pic="http://schemas.openxmlformats.org/drawingml/2006/picture">
                        <pic:nvPicPr>
                          <pic:cNvPr id="1835" name="矩形_4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69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48" name="矩形_6_SpCnt_26"/>
                  <wp:cNvGraphicFramePr/>
                  <a:graphic xmlns:a="http://schemas.openxmlformats.org/drawingml/2006/main">
                    <a:graphicData uri="http://schemas.openxmlformats.org/drawingml/2006/picture">
                      <pic:pic xmlns:pic="http://schemas.openxmlformats.org/drawingml/2006/picture">
                        <pic:nvPicPr>
                          <pic:cNvPr id="1848" name="矩形_6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79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9" name="矩形_3_SpCnt_28"/>
                  <wp:cNvGraphicFramePr/>
                  <a:graphic xmlns:a="http://schemas.openxmlformats.org/drawingml/2006/main">
                    <a:graphicData uri="http://schemas.openxmlformats.org/drawingml/2006/picture">
                      <pic:pic xmlns:pic="http://schemas.openxmlformats.org/drawingml/2006/picture">
                        <pic:nvPicPr>
                          <pic:cNvPr id="1849" name="矩形_3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1900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50" name="矩形_17_SpCnt_26"/>
                  <wp:cNvGraphicFramePr/>
                  <a:graphic xmlns:a="http://schemas.openxmlformats.org/drawingml/2006/main">
                    <a:graphicData uri="http://schemas.openxmlformats.org/drawingml/2006/picture">
                      <pic:pic xmlns:pic="http://schemas.openxmlformats.org/drawingml/2006/picture">
                        <pic:nvPicPr>
                          <pic:cNvPr id="1850" name="矩形_17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00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2" name="矩形_17_SpCnt_27"/>
                  <wp:cNvGraphicFramePr/>
                  <a:graphic xmlns:a="http://schemas.openxmlformats.org/drawingml/2006/main">
                    <a:graphicData uri="http://schemas.openxmlformats.org/drawingml/2006/picture">
                      <pic:pic xmlns:pic="http://schemas.openxmlformats.org/drawingml/2006/picture">
                        <pic:nvPicPr>
                          <pic:cNvPr id="1842" name="矩形_17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10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5" name="矩形_17_SpCnt_28"/>
                  <wp:cNvGraphicFramePr/>
                  <a:graphic xmlns:a="http://schemas.openxmlformats.org/drawingml/2006/main">
                    <a:graphicData uri="http://schemas.openxmlformats.org/drawingml/2006/picture">
                      <pic:pic xmlns:pic="http://schemas.openxmlformats.org/drawingml/2006/picture">
                        <pic:nvPicPr>
                          <pic:cNvPr id="1845" name="矩形_17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20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8" name="矩形_16_SpCnt_25"/>
                  <wp:cNvGraphicFramePr/>
                  <a:graphic xmlns:a="http://schemas.openxmlformats.org/drawingml/2006/main">
                    <a:graphicData uri="http://schemas.openxmlformats.org/drawingml/2006/picture">
                      <pic:pic xmlns:pic="http://schemas.openxmlformats.org/drawingml/2006/picture">
                        <pic:nvPicPr>
                          <pic:cNvPr id="1858" name="矩形_16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31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2" name="矩形_16_SpCnt_26"/>
                  <wp:cNvGraphicFramePr/>
                  <a:graphic xmlns:a="http://schemas.openxmlformats.org/drawingml/2006/main">
                    <a:graphicData uri="http://schemas.openxmlformats.org/drawingml/2006/picture">
                      <pic:pic xmlns:pic="http://schemas.openxmlformats.org/drawingml/2006/picture">
                        <pic:nvPicPr>
                          <pic:cNvPr id="1832" name="矩形_16_SpCnt_2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412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3" name="矩形_9_SpCnt_24"/>
                  <wp:cNvGraphicFramePr/>
                  <a:graphic xmlns:a="http://schemas.openxmlformats.org/drawingml/2006/main">
                    <a:graphicData uri="http://schemas.openxmlformats.org/drawingml/2006/picture">
                      <pic:pic xmlns:pic="http://schemas.openxmlformats.org/drawingml/2006/picture">
                        <pic:nvPicPr>
                          <pic:cNvPr id="1843" name="矩形_9_SpCnt_2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51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0" name="矩形_6_SpCnt_27"/>
                  <wp:cNvGraphicFramePr/>
                  <a:graphic xmlns:a="http://schemas.openxmlformats.org/drawingml/2006/main">
                    <a:graphicData uri="http://schemas.openxmlformats.org/drawingml/2006/picture">
                      <pic:pic xmlns:pic="http://schemas.openxmlformats.org/drawingml/2006/picture">
                        <pic:nvPicPr>
                          <pic:cNvPr id="1860" name="矩形_6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61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34" name="矩形_16_SpCnt_27"/>
                  <wp:cNvGraphicFramePr/>
                  <a:graphic xmlns:a="http://schemas.openxmlformats.org/drawingml/2006/main">
                    <a:graphicData uri="http://schemas.openxmlformats.org/drawingml/2006/picture">
                      <pic:pic xmlns:pic="http://schemas.openxmlformats.org/drawingml/2006/picture">
                        <pic:nvPicPr>
                          <pic:cNvPr id="1834" name="矩形_16_SpCnt_2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72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6" name="矩形_9_SpCnt_25"/>
                  <wp:cNvGraphicFramePr/>
                  <a:graphic xmlns:a="http://schemas.openxmlformats.org/drawingml/2006/main">
                    <a:graphicData uri="http://schemas.openxmlformats.org/drawingml/2006/picture">
                      <pic:pic xmlns:pic="http://schemas.openxmlformats.org/drawingml/2006/picture">
                        <pic:nvPicPr>
                          <pic:cNvPr id="1836" name="矩形_9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82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9" name="矩形_4_SpCnt_25"/>
                  <wp:cNvGraphicFramePr/>
                  <a:graphic xmlns:a="http://schemas.openxmlformats.org/drawingml/2006/main">
                    <a:graphicData uri="http://schemas.openxmlformats.org/drawingml/2006/picture">
                      <pic:pic xmlns:pic="http://schemas.openxmlformats.org/drawingml/2006/picture">
                        <pic:nvPicPr>
                          <pic:cNvPr id="1859" name="矩形_4_SpCnt_2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292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38" name="矩形_3_SpCnt_29"/>
                  <wp:cNvGraphicFramePr/>
                  <a:graphic xmlns:a="http://schemas.openxmlformats.org/drawingml/2006/main">
                    <a:graphicData uri="http://schemas.openxmlformats.org/drawingml/2006/picture">
                      <pic:pic xmlns:pic="http://schemas.openxmlformats.org/drawingml/2006/picture">
                        <pic:nvPicPr>
                          <pic:cNvPr id="1838" name="矩形_3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02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4" name="矩形_6_SpCnt_28"/>
                  <wp:cNvGraphicFramePr/>
                  <a:graphic xmlns:a="http://schemas.openxmlformats.org/drawingml/2006/main">
                    <a:graphicData uri="http://schemas.openxmlformats.org/drawingml/2006/picture">
                      <pic:pic xmlns:pic="http://schemas.openxmlformats.org/drawingml/2006/picture">
                        <pic:nvPicPr>
                          <pic:cNvPr id="1844" name="矩形_6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12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1" name="矩形_17_SpCnt_29"/>
                  <wp:cNvGraphicFramePr/>
                  <a:graphic xmlns:a="http://schemas.openxmlformats.org/drawingml/2006/main">
                    <a:graphicData uri="http://schemas.openxmlformats.org/drawingml/2006/picture">
                      <pic:pic xmlns:pic="http://schemas.openxmlformats.org/drawingml/2006/picture">
                        <pic:nvPicPr>
                          <pic:cNvPr id="1851" name="矩形_17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232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56" name="矩形_16_SpCnt_28"/>
                  <wp:cNvGraphicFramePr/>
                  <a:graphic xmlns:a="http://schemas.openxmlformats.org/drawingml/2006/main">
                    <a:graphicData uri="http://schemas.openxmlformats.org/drawingml/2006/picture">
                      <pic:pic xmlns:pic="http://schemas.openxmlformats.org/drawingml/2006/picture">
                        <pic:nvPicPr>
                          <pic:cNvPr id="1856" name="矩形_16_SpCnt_2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334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39" name="矩形_9_SpCnt_26"/>
                  <wp:cNvGraphicFramePr/>
                  <a:graphic xmlns:a="http://schemas.openxmlformats.org/drawingml/2006/main">
                    <a:graphicData uri="http://schemas.openxmlformats.org/drawingml/2006/picture">
                      <pic:pic xmlns:pic="http://schemas.openxmlformats.org/drawingml/2006/picture">
                        <pic:nvPicPr>
                          <pic:cNvPr id="1839" name="矩形_9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436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54" name="矩形_4_SpCnt_26"/>
                  <wp:cNvGraphicFramePr/>
                  <a:graphic xmlns:a="http://schemas.openxmlformats.org/drawingml/2006/main">
                    <a:graphicData uri="http://schemas.openxmlformats.org/drawingml/2006/picture">
                      <pic:pic xmlns:pic="http://schemas.openxmlformats.org/drawingml/2006/picture">
                        <pic:nvPicPr>
                          <pic:cNvPr id="1854" name="矩形_4_SpCnt_2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53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1" name="矩形_16_SpCnt_29"/>
                  <wp:cNvGraphicFramePr/>
                  <a:graphic xmlns:a="http://schemas.openxmlformats.org/drawingml/2006/main">
                    <a:graphicData uri="http://schemas.openxmlformats.org/drawingml/2006/picture">
                      <pic:pic xmlns:pic="http://schemas.openxmlformats.org/drawingml/2006/picture">
                        <pic:nvPicPr>
                          <pic:cNvPr id="1861" name="矩形_16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641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46" name="矩形_9_SpCnt_27"/>
                  <wp:cNvGraphicFramePr/>
                  <a:graphic xmlns:a="http://schemas.openxmlformats.org/drawingml/2006/main">
                    <a:graphicData uri="http://schemas.openxmlformats.org/drawingml/2006/picture">
                      <pic:pic xmlns:pic="http://schemas.openxmlformats.org/drawingml/2006/picture">
                        <pic:nvPicPr>
                          <pic:cNvPr id="1846" name="矩形_9_SpCnt_27"/>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74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41" name="矩形_4_SpCnt_27"/>
                  <wp:cNvGraphicFramePr/>
                  <a:graphic xmlns:a="http://schemas.openxmlformats.org/drawingml/2006/main">
                    <a:graphicData uri="http://schemas.openxmlformats.org/drawingml/2006/picture">
                      <pic:pic xmlns:pic="http://schemas.openxmlformats.org/drawingml/2006/picture">
                        <pic:nvPicPr>
                          <pic:cNvPr id="1841" name="矩形_4_SpCnt_2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84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2" name="矩形_9_SpCnt_28"/>
                  <wp:cNvGraphicFramePr/>
                  <a:graphic xmlns:a="http://schemas.openxmlformats.org/drawingml/2006/main">
                    <a:graphicData uri="http://schemas.openxmlformats.org/drawingml/2006/picture">
                      <pic:pic xmlns:pic="http://schemas.openxmlformats.org/drawingml/2006/picture">
                        <pic:nvPicPr>
                          <pic:cNvPr id="1852" name="矩形_9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3948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3" name="矩形_6_SpCnt_29"/>
                  <wp:cNvGraphicFramePr/>
                  <a:graphic xmlns:a="http://schemas.openxmlformats.org/drawingml/2006/main">
                    <a:graphicData uri="http://schemas.openxmlformats.org/drawingml/2006/picture">
                      <pic:pic xmlns:pic="http://schemas.openxmlformats.org/drawingml/2006/picture">
                        <pic:nvPicPr>
                          <pic:cNvPr id="1853" name="矩形_6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05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57" name="矩形_3_SpCnt_30"/>
                  <wp:cNvGraphicFramePr/>
                  <a:graphic xmlns:a="http://schemas.openxmlformats.org/drawingml/2006/main">
                    <a:graphicData uri="http://schemas.openxmlformats.org/drawingml/2006/picture">
                      <pic:pic xmlns:pic="http://schemas.openxmlformats.org/drawingml/2006/picture">
                        <pic:nvPicPr>
                          <pic:cNvPr id="1857" name="矩形_3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15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9" name="矩形_4_SpCnt_28"/>
                  <wp:cNvGraphicFramePr/>
                  <a:graphic xmlns:a="http://schemas.openxmlformats.org/drawingml/2006/main">
                    <a:graphicData uri="http://schemas.openxmlformats.org/drawingml/2006/picture">
                      <pic:pic xmlns:pic="http://schemas.openxmlformats.org/drawingml/2006/picture">
                        <pic:nvPicPr>
                          <pic:cNvPr id="1869" name="矩形_4_SpCnt_2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25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6" name="矩形_3_SpCnt_31"/>
                  <wp:cNvGraphicFramePr/>
                  <a:graphic xmlns:a="http://schemas.openxmlformats.org/drawingml/2006/main">
                    <a:graphicData uri="http://schemas.openxmlformats.org/drawingml/2006/picture">
                      <pic:pic xmlns:pic="http://schemas.openxmlformats.org/drawingml/2006/picture">
                        <pic:nvPicPr>
                          <pic:cNvPr id="1886" name="矩形_3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358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80" name="矩形_6_SpCnt_30"/>
                  <wp:cNvGraphicFramePr/>
                  <a:graphic xmlns:a="http://schemas.openxmlformats.org/drawingml/2006/main">
                    <a:graphicData uri="http://schemas.openxmlformats.org/drawingml/2006/picture">
                      <pic:pic xmlns:pic="http://schemas.openxmlformats.org/drawingml/2006/picture">
                        <pic:nvPicPr>
                          <pic:cNvPr id="1880" name="矩形_6_SpCnt_30"/>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46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8" name="矩形_17_SpCnt_30"/>
                  <wp:cNvGraphicFramePr/>
                  <a:graphic xmlns:a="http://schemas.openxmlformats.org/drawingml/2006/main">
                    <a:graphicData uri="http://schemas.openxmlformats.org/drawingml/2006/picture">
                      <pic:pic xmlns:pic="http://schemas.openxmlformats.org/drawingml/2006/picture">
                        <pic:nvPicPr>
                          <pic:cNvPr id="1878" name="矩形_17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56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5" name="矩形_17_SpCnt_31"/>
                  <wp:cNvGraphicFramePr/>
                  <a:graphic xmlns:a="http://schemas.openxmlformats.org/drawingml/2006/main">
                    <a:graphicData uri="http://schemas.openxmlformats.org/drawingml/2006/picture">
                      <pic:pic xmlns:pic="http://schemas.openxmlformats.org/drawingml/2006/picture">
                        <pic:nvPicPr>
                          <pic:cNvPr id="1875" name="矩形_17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66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0" name="矩形_16_SpCnt_30"/>
                  <wp:cNvGraphicFramePr/>
                  <a:graphic xmlns:a="http://schemas.openxmlformats.org/drawingml/2006/main">
                    <a:graphicData uri="http://schemas.openxmlformats.org/drawingml/2006/picture">
                      <pic:pic xmlns:pic="http://schemas.openxmlformats.org/drawingml/2006/picture">
                        <pic:nvPicPr>
                          <pic:cNvPr id="1870" name="矩形_16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76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7" name="矩形_16_SpCnt_31"/>
                  <wp:cNvGraphicFramePr/>
                  <a:graphic xmlns:a="http://schemas.openxmlformats.org/drawingml/2006/main">
                    <a:graphicData uri="http://schemas.openxmlformats.org/drawingml/2006/picture">
                      <pic:pic xmlns:pic="http://schemas.openxmlformats.org/drawingml/2006/picture">
                        <pic:nvPicPr>
                          <pic:cNvPr id="1887" name="矩形_16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87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3" name="矩形_9_SpCnt_29"/>
                  <wp:cNvGraphicFramePr/>
                  <a:graphic xmlns:a="http://schemas.openxmlformats.org/drawingml/2006/main">
                    <a:graphicData uri="http://schemas.openxmlformats.org/drawingml/2006/picture">
                      <pic:pic xmlns:pic="http://schemas.openxmlformats.org/drawingml/2006/picture">
                        <pic:nvPicPr>
                          <pic:cNvPr id="1893" name="矩形_9_SpCnt_2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4972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65" name="矩形_3_SpCnt_32"/>
                  <wp:cNvGraphicFramePr/>
                  <a:graphic xmlns:a="http://schemas.openxmlformats.org/drawingml/2006/main">
                    <a:graphicData uri="http://schemas.openxmlformats.org/drawingml/2006/picture">
                      <pic:pic xmlns:pic="http://schemas.openxmlformats.org/drawingml/2006/picture">
                        <pic:nvPicPr>
                          <pic:cNvPr id="1865" name="矩形_3_SpCnt_32"/>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07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2" name="矩形_6_SpCnt_31"/>
                  <wp:cNvGraphicFramePr/>
                  <a:graphic xmlns:a="http://schemas.openxmlformats.org/drawingml/2006/main">
                    <a:graphicData uri="http://schemas.openxmlformats.org/drawingml/2006/picture">
                      <pic:pic xmlns:pic="http://schemas.openxmlformats.org/drawingml/2006/picture">
                        <pic:nvPicPr>
                          <pic:cNvPr id="1892" name="矩形_6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1776"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4" name="矩形_4_SpCnt_29"/>
                  <wp:cNvGraphicFramePr/>
                  <a:graphic xmlns:a="http://schemas.openxmlformats.org/drawingml/2006/main">
                    <a:graphicData uri="http://schemas.openxmlformats.org/drawingml/2006/picture">
                      <pic:pic xmlns:pic="http://schemas.openxmlformats.org/drawingml/2006/picture">
                        <pic:nvPicPr>
                          <pic:cNvPr id="1894" name="矩形_4_SpCnt_29"/>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28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4" name="矩形_9_SpCnt_30"/>
                  <wp:cNvGraphicFramePr/>
                  <a:graphic xmlns:a="http://schemas.openxmlformats.org/drawingml/2006/main">
                    <a:graphicData uri="http://schemas.openxmlformats.org/drawingml/2006/picture">
                      <pic:pic xmlns:pic="http://schemas.openxmlformats.org/drawingml/2006/picture">
                        <pic:nvPicPr>
                          <pic:cNvPr id="1884" name="矩形_9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38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4" name="矩形_4_SpCnt_30"/>
                  <wp:cNvGraphicFramePr/>
                  <a:graphic xmlns:a="http://schemas.openxmlformats.org/drawingml/2006/main">
                    <a:graphicData uri="http://schemas.openxmlformats.org/drawingml/2006/picture">
                      <pic:pic xmlns:pic="http://schemas.openxmlformats.org/drawingml/2006/picture">
                        <pic:nvPicPr>
                          <pic:cNvPr id="1864" name="矩形_4_SpCnt_30"/>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48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9" name="矩形_3_SpCnt_33"/>
                  <wp:cNvGraphicFramePr/>
                  <a:graphic xmlns:a="http://schemas.openxmlformats.org/drawingml/2006/main">
                    <a:graphicData uri="http://schemas.openxmlformats.org/drawingml/2006/picture">
                      <pic:pic xmlns:pic="http://schemas.openxmlformats.org/drawingml/2006/picture">
                        <pic:nvPicPr>
                          <pic:cNvPr id="1889" name="矩形_3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587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5" name="矩形_6_SpCnt_32"/>
                  <wp:cNvGraphicFramePr/>
                  <a:graphic xmlns:a="http://schemas.openxmlformats.org/drawingml/2006/main">
                    <a:graphicData uri="http://schemas.openxmlformats.org/drawingml/2006/picture">
                      <pic:pic xmlns:pic="http://schemas.openxmlformats.org/drawingml/2006/picture">
                        <pic:nvPicPr>
                          <pic:cNvPr id="1885" name="矩形_6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68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3" name="矩形_17_SpCnt_32"/>
                  <wp:cNvGraphicFramePr/>
                  <a:graphic xmlns:a="http://schemas.openxmlformats.org/drawingml/2006/main">
                    <a:graphicData uri="http://schemas.openxmlformats.org/drawingml/2006/picture">
                      <pic:pic xmlns:pic="http://schemas.openxmlformats.org/drawingml/2006/picture">
                        <pic:nvPicPr>
                          <pic:cNvPr id="1873" name="矩形_17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792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1" name="矩形_16_SpCnt_32"/>
                  <wp:cNvGraphicFramePr/>
                  <a:graphic xmlns:a="http://schemas.openxmlformats.org/drawingml/2006/main">
                    <a:graphicData uri="http://schemas.openxmlformats.org/drawingml/2006/picture">
                      <pic:pic xmlns:pic="http://schemas.openxmlformats.org/drawingml/2006/picture">
                        <pic:nvPicPr>
                          <pic:cNvPr id="1881" name="矩形_16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8944"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77" name="矩形_3_SpCnt_34"/>
                  <wp:cNvGraphicFramePr/>
                  <a:graphic xmlns:a="http://schemas.openxmlformats.org/drawingml/2006/main">
                    <a:graphicData uri="http://schemas.openxmlformats.org/drawingml/2006/picture">
                      <pic:pic xmlns:pic="http://schemas.openxmlformats.org/drawingml/2006/picture">
                        <pic:nvPicPr>
                          <pic:cNvPr id="1877" name="矩形_3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599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0" name="矩形_4_SpCnt_31"/>
                  <wp:cNvGraphicFramePr/>
                  <a:graphic xmlns:a="http://schemas.openxmlformats.org/drawingml/2006/main">
                    <a:graphicData uri="http://schemas.openxmlformats.org/drawingml/2006/picture">
                      <pic:pic xmlns:pic="http://schemas.openxmlformats.org/drawingml/2006/picture">
                        <pic:nvPicPr>
                          <pic:cNvPr id="1890" name="矩形_4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09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8" name="矩形_9_SpCnt_31"/>
                  <wp:cNvGraphicFramePr/>
                  <a:graphic xmlns:a="http://schemas.openxmlformats.org/drawingml/2006/main">
                    <a:graphicData uri="http://schemas.openxmlformats.org/drawingml/2006/picture">
                      <pic:pic xmlns:pic="http://schemas.openxmlformats.org/drawingml/2006/picture">
                        <pic:nvPicPr>
                          <pic:cNvPr id="1888" name="矩形_9_SpCnt_31"/>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20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82" name="矩形_6_SpCnt_33"/>
                  <wp:cNvGraphicFramePr/>
                  <a:graphic xmlns:a="http://schemas.openxmlformats.org/drawingml/2006/main">
                    <a:graphicData uri="http://schemas.openxmlformats.org/drawingml/2006/picture">
                      <pic:pic xmlns:pic="http://schemas.openxmlformats.org/drawingml/2006/picture">
                        <pic:nvPicPr>
                          <pic:cNvPr id="1882" name="矩形_6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30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1" name="矩形_3_SpCnt_35"/>
                  <wp:cNvGraphicFramePr/>
                  <a:graphic xmlns:a="http://schemas.openxmlformats.org/drawingml/2006/main">
                    <a:graphicData uri="http://schemas.openxmlformats.org/drawingml/2006/picture">
                      <pic:pic xmlns:pic="http://schemas.openxmlformats.org/drawingml/2006/picture">
                        <pic:nvPicPr>
                          <pic:cNvPr id="1871" name="矩形_3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40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6" name="矩形_4_SpCnt_32"/>
                  <wp:cNvGraphicFramePr/>
                  <a:graphic xmlns:a="http://schemas.openxmlformats.org/drawingml/2006/main">
                    <a:graphicData uri="http://schemas.openxmlformats.org/drawingml/2006/picture">
                      <pic:pic xmlns:pic="http://schemas.openxmlformats.org/drawingml/2006/picture">
                        <pic:nvPicPr>
                          <pic:cNvPr id="1866" name="矩形_4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508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83" name="矩形_6_SpCnt_34"/>
                  <wp:cNvGraphicFramePr/>
                  <a:graphic xmlns:a="http://schemas.openxmlformats.org/drawingml/2006/main">
                    <a:graphicData uri="http://schemas.openxmlformats.org/drawingml/2006/picture">
                      <pic:pic xmlns:pic="http://schemas.openxmlformats.org/drawingml/2006/picture">
                        <pic:nvPicPr>
                          <pic:cNvPr id="1883" name="矩形_6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611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1" name="矩形_17_SpCnt_33"/>
                  <wp:cNvGraphicFramePr/>
                  <a:graphic xmlns:a="http://schemas.openxmlformats.org/drawingml/2006/main">
                    <a:graphicData uri="http://schemas.openxmlformats.org/drawingml/2006/picture">
                      <pic:pic xmlns:pic="http://schemas.openxmlformats.org/drawingml/2006/picture">
                        <pic:nvPicPr>
                          <pic:cNvPr id="1891" name="矩形_17_SpCnt_33"/>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71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6" name="矩形_3_SpCnt_36"/>
                  <wp:cNvGraphicFramePr/>
                  <a:graphic xmlns:a="http://schemas.openxmlformats.org/drawingml/2006/main">
                    <a:graphicData uri="http://schemas.openxmlformats.org/drawingml/2006/picture">
                      <pic:pic xmlns:pic="http://schemas.openxmlformats.org/drawingml/2006/picture">
                        <pic:nvPicPr>
                          <pic:cNvPr id="1876" name="矩形_3_SpCnt_3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816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5" name="矩形_17_SpCnt_34"/>
                  <wp:cNvGraphicFramePr/>
                  <a:graphic xmlns:a="http://schemas.openxmlformats.org/drawingml/2006/main">
                    <a:graphicData uri="http://schemas.openxmlformats.org/drawingml/2006/picture">
                      <pic:pic xmlns:pic="http://schemas.openxmlformats.org/drawingml/2006/picture">
                        <pic:nvPicPr>
                          <pic:cNvPr id="1895" name="矩形_17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6918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7" name="矩形_17_SpCnt_35"/>
                  <wp:cNvGraphicFramePr/>
                  <a:graphic xmlns:a="http://schemas.openxmlformats.org/drawingml/2006/main">
                    <a:graphicData uri="http://schemas.openxmlformats.org/drawingml/2006/picture">
                      <pic:pic xmlns:pic="http://schemas.openxmlformats.org/drawingml/2006/picture">
                        <pic:nvPicPr>
                          <pic:cNvPr id="1867" name="矩形_17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020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68" name="矩形_17_SpCnt_36"/>
                  <wp:cNvGraphicFramePr/>
                  <a:graphic xmlns:a="http://schemas.openxmlformats.org/drawingml/2006/main">
                    <a:graphicData uri="http://schemas.openxmlformats.org/drawingml/2006/picture">
                      <pic:pic xmlns:pic="http://schemas.openxmlformats.org/drawingml/2006/picture">
                        <pic:nvPicPr>
                          <pic:cNvPr id="1868" name="矩形_17_SpCnt_3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123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9" name="矩形_16_SpCnt_33"/>
                  <wp:cNvGraphicFramePr/>
                  <a:graphic xmlns:a="http://schemas.openxmlformats.org/drawingml/2006/main">
                    <a:graphicData uri="http://schemas.openxmlformats.org/drawingml/2006/picture">
                      <pic:pic xmlns:pic="http://schemas.openxmlformats.org/drawingml/2006/picture">
                        <pic:nvPicPr>
                          <pic:cNvPr id="1879" name="矩形_16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225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2" name="矩形_16_SpCnt_34"/>
                  <wp:cNvGraphicFramePr/>
                  <a:graphic xmlns:a="http://schemas.openxmlformats.org/drawingml/2006/main">
                    <a:graphicData uri="http://schemas.openxmlformats.org/drawingml/2006/picture">
                      <pic:pic xmlns:pic="http://schemas.openxmlformats.org/drawingml/2006/picture">
                        <pic:nvPicPr>
                          <pic:cNvPr id="1872" name="矩形_16_SpCnt_3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328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74" name="矩形_9_SpCnt_32"/>
                  <wp:cNvGraphicFramePr/>
                  <a:graphic xmlns:a="http://schemas.openxmlformats.org/drawingml/2006/main">
                    <a:graphicData uri="http://schemas.openxmlformats.org/drawingml/2006/picture">
                      <pic:pic xmlns:pic="http://schemas.openxmlformats.org/drawingml/2006/picture">
                        <pic:nvPicPr>
                          <pic:cNvPr id="1874" name="矩形_9_SpCnt_32"/>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430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0" name="矩形_6_SpCnt_35"/>
                  <wp:cNvGraphicFramePr/>
                  <a:graphic xmlns:a="http://schemas.openxmlformats.org/drawingml/2006/main">
                    <a:graphicData uri="http://schemas.openxmlformats.org/drawingml/2006/picture">
                      <pic:pic xmlns:pic="http://schemas.openxmlformats.org/drawingml/2006/picture">
                        <pic:nvPicPr>
                          <pic:cNvPr id="1900" name="矩形_6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532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924" name="矩形_16_SpCnt_35"/>
                  <wp:cNvGraphicFramePr/>
                  <a:graphic xmlns:a="http://schemas.openxmlformats.org/drawingml/2006/main">
                    <a:graphicData uri="http://schemas.openxmlformats.org/drawingml/2006/picture">
                      <pic:pic xmlns:pic="http://schemas.openxmlformats.org/drawingml/2006/picture">
                        <pic:nvPicPr>
                          <pic:cNvPr id="1924" name="矩形_16_SpCnt_35"/>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635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25" name="矩形_9_SpCnt_33"/>
                  <wp:cNvGraphicFramePr/>
                  <a:graphic xmlns:a="http://schemas.openxmlformats.org/drawingml/2006/main">
                    <a:graphicData uri="http://schemas.openxmlformats.org/drawingml/2006/picture">
                      <pic:pic xmlns:pic="http://schemas.openxmlformats.org/drawingml/2006/picture">
                        <pic:nvPicPr>
                          <pic:cNvPr id="1925" name="矩形_9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737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11" name="矩形_4_SpCnt_33"/>
                  <wp:cNvGraphicFramePr/>
                  <a:graphic xmlns:a="http://schemas.openxmlformats.org/drawingml/2006/main">
                    <a:graphicData uri="http://schemas.openxmlformats.org/drawingml/2006/picture">
                      <pic:pic xmlns:pic="http://schemas.openxmlformats.org/drawingml/2006/picture">
                        <pic:nvPicPr>
                          <pic:cNvPr id="1911" name="矩形_4_SpCnt_33"/>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840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9" name="矩形_3_SpCnt_37"/>
                  <wp:cNvGraphicFramePr/>
                  <a:graphic xmlns:a="http://schemas.openxmlformats.org/drawingml/2006/main">
                    <a:graphicData uri="http://schemas.openxmlformats.org/drawingml/2006/picture">
                      <pic:pic xmlns:pic="http://schemas.openxmlformats.org/drawingml/2006/picture">
                        <pic:nvPicPr>
                          <pic:cNvPr id="1899" name="矩形_3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7942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23" name="矩形_6_SpCnt_36"/>
                  <wp:cNvGraphicFramePr/>
                  <a:graphic xmlns:a="http://schemas.openxmlformats.org/drawingml/2006/main">
                    <a:graphicData uri="http://schemas.openxmlformats.org/drawingml/2006/picture">
                      <pic:pic xmlns:pic="http://schemas.openxmlformats.org/drawingml/2006/picture">
                        <pic:nvPicPr>
                          <pic:cNvPr id="1923" name="矩形_6_SpCnt_36"/>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044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8" name="矩形_17_SpCnt_37"/>
                  <wp:cNvGraphicFramePr/>
                  <a:graphic xmlns:a="http://schemas.openxmlformats.org/drawingml/2006/main">
                    <a:graphicData uri="http://schemas.openxmlformats.org/drawingml/2006/picture">
                      <pic:pic xmlns:pic="http://schemas.openxmlformats.org/drawingml/2006/picture">
                        <pic:nvPicPr>
                          <pic:cNvPr id="1908" name="矩形_17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1472"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896" name="矩形_16_SpCnt_36"/>
                  <wp:cNvGraphicFramePr/>
                  <a:graphic xmlns:a="http://schemas.openxmlformats.org/drawingml/2006/main">
                    <a:graphicData uri="http://schemas.openxmlformats.org/drawingml/2006/picture">
                      <pic:pic xmlns:pic="http://schemas.openxmlformats.org/drawingml/2006/picture">
                        <pic:nvPicPr>
                          <pic:cNvPr id="1896" name="矩形_16_SpCnt_36"/>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249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19" name="矩形_16_SpCnt_37"/>
                  <wp:cNvGraphicFramePr/>
                  <a:graphic xmlns:a="http://schemas.openxmlformats.org/drawingml/2006/main">
                    <a:graphicData uri="http://schemas.openxmlformats.org/drawingml/2006/picture">
                      <pic:pic xmlns:pic="http://schemas.openxmlformats.org/drawingml/2006/picture">
                        <pic:nvPicPr>
                          <pic:cNvPr id="1919" name="矩形_16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3520"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927" name="矩形_9_SpCnt_34"/>
                  <wp:cNvGraphicFramePr/>
                  <a:graphic xmlns:a="http://schemas.openxmlformats.org/drawingml/2006/main">
                    <a:graphicData uri="http://schemas.openxmlformats.org/drawingml/2006/picture">
                      <pic:pic xmlns:pic="http://schemas.openxmlformats.org/drawingml/2006/picture">
                        <pic:nvPicPr>
                          <pic:cNvPr id="1927" name="矩形_9_SpCnt_34"/>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454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2" name="矩形_4_SpCnt_34"/>
                  <wp:cNvGraphicFramePr/>
                  <a:graphic xmlns:a="http://schemas.openxmlformats.org/drawingml/2006/main">
                    <a:graphicData uri="http://schemas.openxmlformats.org/drawingml/2006/picture">
                      <pic:pic xmlns:pic="http://schemas.openxmlformats.org/drawingml/2006/picture">
                        <pic:nvPicPr>
                          <pic:cNvPr id="1902" name="矩形_4_SpCnt_34"/>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5568"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5" name="矩形_9_SpCnt_35"/>
                  <wp:cNvGraphicFramePr/>
                  <a:graphic xmlns:a="http://schemas.openxmlformats.org/drawingml/2006/main">
                    <a:graphicData uri="http://schemas.openxmlformats.org/drawingml/2006/picture">
                      <pic:pic xmlns:pic="http://schemas.openxmlformats.org/drawingml/2006/picture">
                        <pic:nvPicPr>
                          <pic:cNvPr id="1905" name="矩形_9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659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4" name="矩形_6_SpCnt_37"/>
                  <wp:cNvGraphicFramePr/>
                  <a:graphic xmlns:a="http://schemas.openxmlformats.org/drawingml/2006/main">
                    <a:graphicData uri="http://schemas.openxmlformats.org/drawingml/2006/picture">
                      <pic:pic xmlns:pic="http://schemas.openxmlformats.org/drawingml/2006/picture">
                        <pic:nvPicPr>
                          <pic:cNvPr id="1904" name="矩形_6_SpCnt_37"/>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761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1" name="矩形_3_SpCnt_38"/>
                  <wp:cNvGraphicFramePr/>
                  <a:graphic xmlns:a="http://schemas.openxmlformats.org/drawingml/2006/main">
                    <a:graphicData uri="http://schemas.openxmlformats.org/drawingml/2006/picture">
                      <pic:pic xmlns:pic="http://schemas.openxmlformats.org/drawingml/2006/picture">
                        <pic:nvPicPr>
                          <pic:cNvPr id="1901" name="矩形_3_SpCnt_3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864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21" name="矩形_4_SpCnt_35"/>
                  <wp:cNvGraphicFramePr/>
                  <a:graphic xmlns:a="http://schemas.openxmlformats.org/drawingml/2006/main">
                    <a:graphicData uri="http://schemas.openxmlformats.org/drawingml/2006/picture">
                      <pic:pic xmlns:pic="http://schemas.openxmlformats.org/drawingml/2006/picture">
                        <pic:nvPicPr>
                          <pic:cNvPr id="1921" name="矩形_4_SpCnt_35"/>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89664"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6" name="矩形_3_SpCnt_39"/>
                  <wp:cNvGraphicFramePr/>
                  <a:graphic xmlns:a="http://schemas.openxmlformats.org/drawingml/2006/main">
                    <a:graphicData uri="http://schemas.openxmlformats.org/drawingml/2006/picture">
                      <pic:pic xmlns:pic="http://schemas.openxmlformats.org/drawingml/2006/picture">
                        <pic:nvPicPr>
                          <pic:cNvPr id="1906" name="矩形_3_SpCnt_3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0688" behindDoc="0" locked="0" layoutInCell="1" allowOverlap="1">
                  <wp:simplePos x="0" y="0"/>
                  <wp:positionH relativeFrom="column">
                    <wp:posOffset>0</wp:posOffset>
                  </wp:positionH>
                  <wp:positionV relativeFrom="paragraph">
                    <wp:posOffset>171450</wp:posOffset>
                  </wp:positionV>
                  <wp:extent cx="800735" cy="504825"/>
                  <wp:effectExtent l="0" t="0" r="0" b="0"/>
                  <wp:wrapNone/>
                  <wp:docPr id="1907" name="矩形_6_SpCnt_38"/>
                  <wp:cNvGraphicFramePr/>
                  <a:graphic xmlns:a="http://schemas.openxmlformats.org/drawingml/2006/main">
                    <a:graphicData uri="http://schemas.openxmlformats.org/drawingml/2006/picture">
                      <pic:pic xmlns:pic="http://schemas.openxmlformats.org/drawingml/2006/picture">
                        <pic:nvPicPr>
                          <pic:cNvPr id="1907" name="矩形_6_SpCnt_38"/>
                          <pic:cNvPicPr/>
                        </pic:nvPicPr>
                        <pic:blipFill>
                          <a:blip r:embed="rId8"/>
                          <a:stretch>
                            <a:fillRect/>
                          </a:stretch>
                        </pic:blipFill>
                        <pic:spPr>
                          <a:xfrm>
                            <a:off x="0" y="0"/>
                            <a:ext cx="800735" cy="50482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1712"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3" name="矩形_17_SpCnt_38"/>
                  <wp:cNvGraphicFramePr/>
                  <a:graphic xmlns:a="http://schemas.openxmlformats.org/drawingml/2006/main">
                    <a:graphicData uri="http://schemas.openxmlformats.org/drawingml/2006/picture">
                      <pic:pic xmlns:pic="http://schemas.openxmlformats.org/drawingml/2006/picture">
                        <pic:nvPicPr>
                          <pic:cNvPr id="1903" name="矩形_17_SpCnt_38"/>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2736"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897" name="矩形_17_SpCnt_39"/>
                  <wp:cNvGraphicFramePr/>
                  <a:graphic xmlns:a="http://schemas.openxmlformats.org/drawingml/2006/main">
                    <a:graphicData uri="http://schemas.openxmlformats.org/drawingml/2006/picture">
                      <pic:pic xmlns:pic="http://schemas.openxmlformats.org/drawingml/2006/picture">
                        <pic:nvPicPr>
                          <pic:cNvPr id="1897" name="矩形_17_SpCnt_39"/>
                          <pic:cNvPicPr/>
                        </pic:nvPicPr>
                        <pic:blipFill>
                          <a:blip r:embed="rId8"/>
                          <a:stretch>
                            <a:fillRect/>
                          </a:stretch>
                        </pic:blipFill>
                        <pic:spPr>
                          <a:xfrm>
                            <a:off x="0" y="0"/>
                            <a:ext cx="800735" cy="460375"/>
                          </a:xfrm>
                          <a:prstGeom prst="rect">
                            <a:avLst/>
                          </a:prstGeom>
                          <a:noFill/>
                          <a:ln>
                            <a:noFill/>
                          </a:ln>
                        </pic:spPr>
                      </pic:pic>
                    </a:graphicData>
                  </a:graphic>
                </wp:anchor>
              </w:drawing>
            </w:r>
            <w:r>
              <w:rPr>
                <w:rFonts w:hint="eastAsia" w:ascii="宋体" w:hAnsi="宋体" w:cs="仿宋_GB2312"/>
                <w:b/>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3760" behindDoc="0" locked="0" layoutInCell="1" allowOverlap="1">
                  <wp:simplePos x="0" y="0"/>
                  <wp:positionH relativeFrom="column">
                    <wp:posOffset>0</wp:posOffset>
                  </wp:positionH>
                  <wp:positionV relativeFrom="paragraph">
                    <wp:posOffset>171450</wp:posOffset>
                  </wp:positionV>
                  <wp:extent cx="800735" cy="460375"/>
                  <wp:effectExtent l="0" t="0" r="0" b="0"/>
                  <wp:wrapNone/>
                  <wp:docPr id="1909" name="矩形_16_SpCnt_38"/>
                  <wp:cNvGraphicFramePr/>
                  <a:graphic xmlns:a="http://schemas.openxmlformats.org/drawingml/2006/main">
                    <a:graphicData uri="http://schemas.openxmlformats.org/drawingml/2006/picture">
                      <pic:pic xmlns:pic="http://schemas.openxmlformats.org/drawingml/2006/picture">
                        <pic:nvPicPr>
                          <pic:cNvPr id="1909" name="矩形_16_SpCnt_38"/>
                          <pic:cNvPicPr/>
                        </pic:nvPicPr>
                        <pic:blipFill>
                          <a:blip r:embed="rId8"/>
                          <a:stretch>
                            <a:fillRect/>
                          </a:stretch>
                        </pic:blipFill>
                        <pic:spPr>
                          <a:xfrm>
                            <a:off x="0" y="0"/>
                            <a:ext cx="800735" cy="460375"/>
                          </a:xfrm>
                          <a:prstGeom prst="rect">
                            <a:avLst/>
                          </a:prstGeom>
                          <a:noFill/>
                          <a:ln>
                            <a:noFill/>
                          </a:ln>
                        </pic:spPr>
                      </pic:pic>
                    </a:graphicData>
                  </a:graphic>
                </wp:anchor>
              </w:drawing>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B8B4">
            <w:pPr>
              <w:spacing w:line="440" w:lineRule="exact"/>
              <w:jc w:val="center"/>
              <w:rPr>
                <w:rFonts w:ascii="宋体" w:hAnsi="宋体" w:cs="仿宋_GB2312"/>
                <w:b/>
                <w:color w:val="0D0D0D" w:themeColor="text1" w:themeTint="F2"/>
                <w:sz w:val="24"/>
                <w14:textFill>
                  <w14:solidFill>
                    <w14:schemeClr w14:val="tx1">
                      <w14:lumMod w14:val="95000"/>
                      <w14:lumOff w14:val="5000"/>
                    </w14:schemeClr>
                  </w14:solidFill>
                </w14:textFill>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C03B">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9589226</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80A9">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 xml:space="preserve">1366788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629F0">
            <w:pPr>
              <w:widowControl/>
              <w:spacing w:line="440" w:lineRule="exact"/>
              <w:jc w:val="center"/>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 xml:space="preserve">8162438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8173">
            <w:pPr>
              <w:spacing w:line="440" w:lineRule="exact"/>
              <w:jc w:val="center"/>
              <w:rPr>
                <w:rFonts w:ascii="宋体" w:hAnsi="宋体" w:cs="仿宋_GB2312"/>
                <w:b/>
                <w:color w:val="0D0D0D" w:themeColor="text1" w:themeTint="F2"/>
                <w:sz w:val="24"/>
                <w14:textFill>
                  <w14:solidFill>
                    <w14:schemeClr w14:val="tx1">
                      <w14:lumMod w14:val="95000"/>
                      <w14:lumOff w14:val="5000"/>
                    </w14:schemeClr>
                  </w14:solidFill>
                </w14:textFill>
              </w:rPr>
            </w:pPr>
          </w:p>
        </w:tc>
      </w:tr>
      <w:tr w14:paraId="4E32503D">
        <w:tblPrEx>
          <w:tblCellMar>
            <w:top w:w="0" w:type="dxa"/>
            <w:left w:w="0" w:type="dxa"/>
            <w:bottom w:w="0" w:type="dxa"/>
            <w:right w:w="0" w:type="dxa"/>
          </w:tblCellMar>
        </w:tblPrEx>
        <w:trPr>
          <w:trHeight w:val="6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0D43">
            <w:pPr>
              <w:widowControl/>
              <w:spacing w:line="440" w:lineRule="exact"/>
              <w:jc w:val="left"/>
              <w:textAlignment w:val="center"/>
              <w:rPr>
                <w:rFonts w:ascii="宋体" w:hAnsi="宋体" w:cs="仿宋_GB2312"/>
                <w:b/>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一、新型基础设施建设领域</w:t>
            </w:r>
          </w:p>
        </w:tc>
      </w:tr>
      <w:tr w14:paraId="3D5863B0">
        <w:tblPrEx>
          <w:tblCellMar>
            <w:top w:w="0" w:type="dxa"/>
            <w:left w:w="0" w:type="dxa"/>
            <w:bottom w:w="0" w:type="dxa"/>
            <w:right w:w="0" w:type="dxa"/>
          </w:tblCellMar>
        </w:tblPrEx>
        <w:trPr>
          <w:trHeight w:val="19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3A4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8E80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云浮云城区中心城区智能停车工程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4BF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47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15" name="矩形_3_SpCnt_40"/>
                  <wp:cNvGraphicFramePr/>
                  <a:graphic xmlns:a="http://schemas.openxmlformats.org/drawingml/2006/main">
                    <a:graphicData uri="http://schemas.openxmlformats.org/drawingml/2006/picture">
                      <pic:pic xmlns:pic="http://schemas.openxmlformats.org/drawingml/2006/picture">
                        <pic:nvPicPr>
                          <pic:cNvPr id="1915" name="矩形_3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580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16" name="矩形_17_SpCnt_40"/>
                  <wp:cNvGraphicFramePr/>
                  <a:graphic xmlns:a="http://schemas.openxmlformats.org/drawingml/2006/main">
                    <a:graphicData uri="http://schemas.openxmlformats.org/drawingml/2006/picture">
                      <pic:pic xmlns:pic="http://schemas.openxmlformats.org/drawingml/2006/picture">
                        <pic:nvPicPr>
                          <pic:cNvPr id="1916" name="矩形_17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683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683" name="矩形_16_SpCnt_40"/>
                  <wp:cNvGraphicFramePr/>
                  <a:graphic xmlns:a="http://schemas.openxmlformats.org/drawingml/2006/main">
                    <a:graphicData uri="http://schemas.openxmlformats.org/drawingml/2006/picture">
                      <pic:pic xmlns:pic="http://schemas.openxmlformats.org/drawingml/2006/picture">
                        <pic:nvPicPr>
                          <pic:cNvPr id="1683" name="矩形_16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785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684" name="矩形_9_SpCnt_40"/>
                  <wp:cNvGraphicFramePr/>
                  <a:graphic xmlns:a="http://schemas.openxmlformats.org/drawingml/2006/main">
                    <a:graphicData uri="http://schemas.openxmlformats.org/drawingml/2006/picture">
                      <pic:pic xmlns:pic="http://schemas.openxmlformats.org/drawingml/2006/picture">
                        <pic:nvPicPr>
                          <pic:cNvPr id="1684" name="矩形_9_SpCnt_4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88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685" name="矩形_6_SpCnt_40"/>
                  <wp:cNvGraphicFramePr/>
                  <a:graphic xmlns:a="http://schemas.openxmlformats.org/drawingml/2006/main">
                    <a:graphicData uri="http://schemas.openxmlformats.org/drawingml/2006/picture">
                      <pic:pic xmlns:pic="http://schemas.openxmlformats.org/drawingml/2006/picture">
                        <pic:nvPicPr>
                          <pic:cNvPr id="1685" name="矩形_6_SpCnt_4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8999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681" name="矩形_3_SpCnt_41"/>
                  <wp:cNvGraphicFramePr/>
                  <a:graphic xmlns:a="http://schemas.openxmlformats.org/drawingml/2006/main">
                    <a:graphicData uri="http://schemas.openxmlformats.org/drawingml/2006/picture">
                      <pic:pic xmlns:pic="http://schemas.openxmlformats.org/drawingml/2006/picture">
                        <pic:nvPicPr>
                          <pic:cNvPr id="1681" name="矩形_3_SpCnt_4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09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682" name="矩形_6_SpCnt_41"/>
                  <wp:cNvGraphicFramePr/>
                  <a:graphic xmlns:a="http://schemas.openxmlformats.org/drawingml/2006/main">
                    <a:graphicData uri="http://schemas.openxmlformats.org/drawingml/2006/picture">
                      <pic:pic xmlns:pic="http://schemas.openxmlformats.org/drawingml/2006/picture">
                        <pic:nvPicPr>
                          <pic:cNvPr id="1682" name="矩形_6_SpCnt_4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19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2" name="矩形_3_SpCnt_42"/>
                  <wp:cNvGraphicFramePr/>
                  <a:graphic xmlns:a="http://schemas.openxmlformats.org/drawingml/2006/main">
                    <a:graphicData uri="http://schemas.openxmlformats.org/drawingml/2006/picture">
                      <pic:pic xmlns:pic="http://schemas.openxmlformats.org/drawingml/2006/picture">
                        <pic:nvPicPr>
                          <pic:cNvPr id="1932" name="矩形_3_SpCnt_4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29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0" name="矩形_4_SpCnt_40"/>
                  <wp:cNvGraphicFramePr/>
                  <a:graphic xmlns:a="http://schemas.openxmlformats.org/drawingml/2006/main">
                    <a:graphicData uri="http://schemas.openxmlformats.org/drawingml/2006/picture">
                      <pic:pic xmlns:pic="http://schemas.openxmlformats.org/drawingml/2006/picture">
                        <pic:nvPicPr>
                          <pic:cNvPr id="1950" name="矩形_4_SpCnt_4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400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7" name="矩形_6_SpCnt_42"/>
                  <wp:cNvGraphicFramePr/>
                  <a:graphic xmlns:a="http://schemas.openxmlformats.org/drawingml/2006/main">
                    <a:graphicData uri="http://schemas.openxmlformats.org/drawingml/2006/picture">
                      <pic:pic xmlns:pic="http://schemas.openxmlformats.org/drawingml/2006/picture">
                        <pic:nvPicPr>
                          <pic:cNvPr id="1947" name="矩形_6_SpCnt_4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502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4" name="矩形_4_SpCnt_41"/>
                  <wp:cNvGraphicFramePr/>
                  <a:graphic xmlns:a="http://schemas.openxmlformats.org/drawingml/2006/main">
                    <a:graphicData uri="http://schemas.openxmlformats.org/drawingml/2006/picture">
                      <pic:pic xmlns:pic="http://schemas.openxmlformats.org/drawingml/2006/picture">
                        <pic:nvPicPr>
                          <pic:cNvPr id="1944" name="矩形_4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604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2" name="矩形_3_SpCnt_43"/>
                  <wp:cNvGraphicFramePr/>
                  <a:graphic xmlns:a="http://schemas.openxmlformats.org/drawingml/2006/main">
                    <a:graphicData uri="http://schemas.openxmlformats.org/drawingml/2006/picture">
                      <pic:pic xmlns:pic="http://schemas.openxmlformats.org/drawingml/2006/picture">
                        <pic:nvPicPr>
                          <pic:cNvPr id="1942" name="矩形_3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707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1" name="矩形_16_SpCnt_41"/>
                  <wp:cNvGraphicFramePr/>
                  <a:graphic xmlns:a="http://schemas.openxmlformats.org/drawingml/2006/main">
                    <a:graphicData uri="http://schemas.openxmlformats.org/drawingml/2006/picture">
                      <pic:pic xmlns:pic="http://schemas.openxmlformats.org/drawingml/2006/picture">
                        <pic:nvPicPr>
                          <pic:cNvPr id="1951" name="矩形_16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809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28" name="矩形_9_SpCnt_41"/>
                  <wp:cNvGraphicFramePr/>
                  <a:graphic xmlns:a="http://schemas.openxmlformats.org/drawingml/2006/main">
                    <a:graphicData uri="http://schemas.openxmlformats.org/drawingml/2006/picture">
                      <pic:pic xmlns:pic="http://schemas.openxmlformats.org/drawingml/2006/picture">
                        <pic:nvPicPr>
                          <pic:cNvPr id="1928" name="矩形_9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0912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6" name="矩形_6_SpCnt_43"/>
                  <wp:cNvGraphicFramePr/>
                  <a:graphic xmlns:a="http://schemas.openxmlformats.org/drawingml/2006/main">
                    <a:graphicData uri="http://schemas.openxmlformats.org/drawingml/2006/picture">
                      <pic:pic xmlns:pic="http://schemas.openxmlformats.org/drawingml/2006/picture">
                        <pic:nvPicPr>
                          <pic:cNvPr id="1956" name="矩形_6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014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2" name="矩形_3_SpCnt_44"/>
                  <wp:cNvGraphicFramePr/>
                  <a:graphic xmlns:a="http://schemas.openxmlformats.org/drawingml/2006/main">
                    <a:graphicData uri="http://schemas.openxmlformats.org/drawingml/2006/picture">
                      <pic:pic xmlns:pic="http://schemas.openxmlformats.org/drawingml/2006/picture">
                        <pic:nvPicPr>
                          <pic:cNvPr id="1952" name="矩形_3_SpCnt_4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116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8" name="矩形_17_SpCnt_41"/>
                  <wp:cNvGraphicFramePr/>
                  <a:graphic xmlns:a="http://schemas.openxmlformats.org/drawingml/2006/main">
                    <a:graphicData uri="http://schemas.openxmlformats.org/drawingml/2006/picture">
                      <pic:pic xmlns:pic="http://schemas.openxmlformats.org/drawingml/2006/picture">
                        <pic:nvPicPr>
                          <pic:cNvPr id="1938" name="矩形_17_SpCnt_4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219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3" name="矩形_16_SpCnt_42"/>
                  <wp:cNvGraphicFramePr/>
                  <a:graphic xmlns:a="http://schemas.openxmlformats.org/drawingml/2006/main">
                    <a:graphicData uri="http://schemas.openxmlformats.org/drawingml/2006/picture">
                      <pic:pic xmlns:pic="http://schemas.openxmlformats.org/drawingml/2006/picture">
                        <pic:nvPicPr>
                          <pic:cNvPr id="1943" name="矩形_16_SpCnt_4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321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29" name="矩形_6_SpCnt_44"/>
                  <wp:cNvGraphicFramePr/>
                  <a:graphic xmlns:a="http://schemas.openxmlformats.org/drawingml/2006/main">
                    <a:graphicData uri="http://schemas.openxmlformats.org/drawingml/2006/picture">
                      <pic:pic xmlns:pic="http://schemas.openxmlformats.org/drawingml/2006/picture">
                        <pic:nvPicPr>
                          <pic:cNvPr id="1929" name="矩形_6_SpCnt_4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424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9" name="矩形_4_SpCnt_42"/>
                  <wp:cNvGraphicFramePr/>
                  <a:graphic xmlns:a="http://schemas.openxmlformats.org/drawingml/2006/main">
                    <a:graphicData uri="http://schemas.openxmlformats.org/drawingml/2006/picture">
                      <pic:pic xmlns:pic="http://schemas.openxmlformats.org/drawingml/2006/picture">
                        <pic:nvPicPr>
                          <pic:cNvPr id="1939" name="矩形_4_SpCnt_4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52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45" name="矩形_17_SpCnt_42"/>
                  <wp:cNvGraphicFramePr/>
                  <a:graphic xmlns:a="http://schemas.openxmlformats.org/drawingml/2006/main">
                    <a:graphicData uri="http://schemas.openxmlformats.org/drawingml/2006/picture">
                      <pic:pic xmlns:pic="http://schemas.openxmlformats.org/drawingml/2006/picture">
                        <pic:nvPicPr>
                          <pic:cNvPr id="1945" name="矩形_17_SpCnt_4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62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5" name="矩形_9_SpCnt_42"/>
                  <wp:cNvGraphicFramePr/>
                  <a:graphic xmlns:a="http://schemas.openxmlformats.org/drawingml/2006/main">
                    <a:graphicData uri="http://schemas.openxmlformats.org/drawingml/2006/picture">
                      <pic:pic xmlns:pic="http://schemas.openxmlformats.org/drawingml/2006/picture">
                        <pic:nvPicPr>
                          <pic:cNvPr id="1935" name="矩形_9_SpCnt_4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731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5" name="矩形_3_SpCnt_45"/>
                  <wp:cNvGraphicFramePr/>
                  <a:graphic xmlns:a="http://schemas.openxmlformats.org/drawingml/2006/main">
                    <a:graphicData uri="http://schemas.openxmlformats.org/drawingml/2006/picture">
                      <pic:pic xmlns:pic="http://schemas.openxmlformats.org/drawingml/2006/picture">
                        <pic:nvPicPr>
                          <pic:cNvPr id="1955" name="矩形_3_SpCnt_4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833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9" name="矩形_16_SpCnt_43"/>
                  <wp:cNvGraphicFramePr/>
                  <a:graphic xmlns:a="http://schemas.openxmlformats.org/drawingml/2006/main">
                    <a:graphicData uri="http://schemas.openxmlformats.org/drawingml/2006/picture">
                      <pic:pic xmlns:pic="http://schemas.openxmlformats.org/drawingml/2006/picture">
                        <pic:nvPicPr>
                          <pic:cNvPr id="1949" name="矩形_16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1936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1" name="矩形_9_SpCnt_43"/>
                  <wp:cNvGraphicFramePr/>
                  <a:graphic xmlns:a="http://schemas.openxmlformats.org/drawingml/2006/main">
                    <a:graphicData uri="http://schemas.openxmlformats.org/drawingml/2006/picture">
                      <pic:pic xmlns:pic="http://schemas.openxmlformats.org/drawingml/2006/picture">
                        <pic:nvPicPr>
                          <pic:cNvPr id="1931" name="矩形_9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03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6" name="矩形_6_SpCnt_45"/>
                  <wp:cNvGraphicFramePr/>
                  <a:graphic xmlns:a="http://schemas.openxmlformats.org/drawingml/2006/main">
                    <a:graphicData uri="http://schemas.openxmlformats.org/drawingml/2006/picture">
                      <pic:pic xmlns:pic="http://schemas.openxmlformats.org/drawingml/2006/picture">
                        <pic:nvPicPr>
                          <pic:cNvPr id="1936" name="矩形_6_SpCnt_4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140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3" name="矩形_3_SpCnt_46"/>
                  <wp:cNvGraphicFramePr/>
                  <a:graphic xmlns:a="http://schemas.openxmlformats.org/drawingml/2006/main">
                    <a:graphicData uri="http://schemas.openxmlformats.org/drawingml/2006/picture">
                      <pic:pic xmlns:pic="http://schemas.openxmlformats.org/drawingml/2006/picture">
                        <pic:nvPicPr>
                          <pic:cNvPr id="1933" name="矩形_3_SpCnt_46"/>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243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53" name="矩形_17_SpCnt_43"/>
                  <wp:cNvGraphicFramePr/>
                  <a:graphic xmlns:a="http://schemas.openxmlformats.org/drawingml/2006/main">
                    <a:graphicData uri="http://schemas.openxmlformats.org/drawingml/2006/picture">
                      <pic:pic xmlns:pic="http://schemas.openxmlformats.org/drawingml/2006/picture">
                        <pic:nvPicPr>
                          <pic:cNvPr id="1953" name="矩形_17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34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7" name="矩形_9_SpCnt_44"/>
                  <wp:cNvGraphicFramePr/>
                  <a:graphic xmlns:a="http://schemas.openxmlformats.org/drawingml/2006/main">
                    <a:graphicData uri="http://schemas.openxmlformats.org/drawingml/2006/picture">
                      <pic:pic xmlns:pic="http://schemas.openxmlformats.org/drawingml/2006/picture">
                        <pic:nvPicPr>
                          <pic:cNvPr id="1937" name="矩形_9_SpCnt_4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448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0" name="矩形_16_SpCnt_44"/>
                  <wp:cNvGraphicFramePr/>
                  <a:graphic xmlns:a="http://schemas.openxmlformats.org/drawingml/2006/main">
                    <a:graphicData uri="http://schemas.openxmlformats.org/drawingml/2006/picture">
                      <pic:pic xmlns:pic="http://schemas.openxmlformats.org/drawingml/2006/picture">
                        <pic:nvPicPr>
                          <pic:cNvPr id="1940" name="矩形_16_SpCnt_4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550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6" name="矩形_6_SpCnt_46"/>
                  <wp:cNvGraphicFramePr/>
                  <a:graphic xmlns:a="http://schemas.openxmlformats.org/drawingml/2006/main">
                    <a:graphicData uri="http://schemas.openxmlformats.org/drawingml/2006/picture">
                      <pic:pic xmlns:pic="http://schemas.openxmlformats.org/drawingml/2006/picture">
                        <pic:nvPicPr>
                          <pic:cNvPr id="1946" name="矩形_6_SpCnt_46"/>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652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41" name="矩形_4_SpCnt_43"/>
                  <wp:cNvGraphicFramePr/>
                  <a:graphic xmlns:a="http://schemas.openxmlformats.org/drawingml/2006/main">
                    <a:graphicData uri="http://schemas.openxmlformats.org/drawingml/2006/picture">
                      <pic:pic xmlns:pic="http://schemas.openxmlformats.org/drawingml/2006/picture">
                        <pic:nvPicPr>
                          <pic:cNvPr id="1941" name="矩形_4_SpCnt_4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755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1930" name="矩形_3_SpCnt_47"/>
                  <wp:cNvGraphicFramePr/>
                  <a:graphic xmlns:a="http://schemas.openxmlformats.org/drawingml/2006/main">
                    <a:graphicData uri="http://schemas.openxmlformats.org/drawingml/2006/picture">
                      <pic:pic xmlns:pic="http://schemas.openxmlformats.org/drawingml/2006/picture">
                        <pic:nvPicPr>
                          <pic:cNvPr id="1930" name="矩形_3_SpCnt_47"/>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85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48" name="矩形_4_SpCnt_44"/>
                  <wp:cNvGraphicFramePr/>
                  <a:graphic xmlns:a="http://schemas.openxmlformats.org/drawingml/2006/main">
                    <a:graphicData uri="http://schemas.openxmlformats.org/drawingml/2006/picture">
                      <pic:pic xmlns:pic="http://schemas.openxmlformats.org/drawingml/2006/picture">
                        <pic:nvPicPr>
                          <pic:cNvPr id="1948" name="矩形_4_SpCnt_4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296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34" name="矩形_9_SpCnt_45"/>
                  <wp:cNvGraphicFramePr/>
                  <a:graphic xmlns:a="http://schemas.openxmlformats.org/drawingml/2006/main">
                    <a:graphicData uri="http://schemas.openxmlformats.org/drawingml/2006/picture">
                      <pic:pic xmlns:pic="http://schemas.openxmlformats.org/drawingml/2006/picture">
                        <pic:nvPicPr>
                          <pic:cNvPr id="1934" name="矩形_9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06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4" name="矩形_3_SpCnt_48"/>
                  <wp:cNvGraphicFramePr/>
                  <a:graphic xmlns:a="http://schemas.openxmlformats.org/drawingml/2006/main">
                    <a:graphicData uri="http://schemas.openxmlformats.org/drawingml/2006/picture">
                      <pic:pic xmlns:pic="http://schemas.openxmlformats.org/drawingml/2006/picture">
                        <pic:nvPicPr>
                          <pic:cNvPr id="1954" name="矩形_3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16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9" name="矩形_4_SpCnt_45"/>
                  <wp:cNvGraphicFramePr/>
                  <a:graphic xmlns:a="http://schemas.openxmlformats.org/drawingml/2006/main">
                    <a:graphicData uri="http://schemas.openxmlformats.org/drawingml/2006/picture">
                      <pic:pic xmlns:pic="http://schemas.openxmlformats.org/drawingml/2006/picture">
                        <pic:nvPicPr>
                          <pic:cNvPr id="1969" name="矩形_4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26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4" name="矩形_17_SpCnt_44"/>
                  <wp:cNvGraphicFramePr/>
                  <a:graphic xmlns:a="http://schemas.openxmlformats.org/drawingml/2006/main">
                    <a:graphicData uri="http://schemas.openxmlformats.org/drawingml/2006/picture">
                      <pic:pic xmlns:pic="http://schemas.openxmlformats.org/drawingml/2006/picture">
                        <pic:nvPicPr>
                          <pic:cNvPr id="1974" name="矩形_17_SpCnt_4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36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2" name="矩形_17_SpCnt_45"/>
                  <wp:cNvGraphicFramePr/>
                  <a:graphic xmlns:a="http://schemas.openxmlformats.org/drawingml/2006/main">
                    <a:graphicData uri="http://schemas.openxmlformats.org/drawingml/2006/picture">
                      <pic:pic xmlns:pic="http://schemas.openxmlformats.org/drawingml/2006/picture">
                        <pic:nvPicPr>
                          <pic:cNvPr id="1962" name="矩形_17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47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4" name="矩形_4_SpCnt_46"/>
                  <wp:cNvGraphicFramePr/>
                  <a:graphic xmlns:a="http://schemas.openxmlformats.org/drawingml/2006/main">
                    <a:graphicData uri="http://schemas.openxmlformats.org/drawingml/2006/picture">
                      <pic:pic xmlns:pic="http://schemas.openxmlformats.org/drawingml/2006/picture">
                        <pic:nvPicPr>
                          <pic:cNvPr id="1984" name="矩形_4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57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7" name="矩形_17_SpCnt_46"/>
                  <wp:cNvGraphicFramePr/>
                  <a:graphic xmlns:a="http://schemas.openxmlformats.org/drawingml/2006/main">
                    <a:graphicData uri="http://schemas.openxmlformats.org/drawingml/2006/picture">
                      <pic:pic xmlns:pic="http://schemas.openxmlformats.org/drawingml/2006/picture">
                        <pic:nvPicPr>
                          <pic:cNvPr id="1977" name="矩形_17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67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8" name="矩形_16_SpCnt_45"/>
                  <wp:cNvGraphicFramePr/>
                  <a:graphic xmlns:a="http://schemas.openxmlformats.org/drawingml/2006/main">
                    <a:graphicData uri="http://schemas.openxmlformats.org/drawingml/2006/picture">
                      <pic:pic xmlns:pic="http://schemas.openxmlformats.org/drawingml/2006/picture">
                        <pic:nvPicPr>
                          <pic:cNvPr id="1968" name="矩形_16_SpCnt_4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77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6" name="矩形_9_SpCnt_46"/>
                  <wp:cNvGraphicFramePr/>
                  <a:graphic xmlns:a="http://schemas.openxmlformats.org/drawingml/2006/main">
                    <a:graphicData uri="http://schemas.openxmlformats.org/drawingml/2006/picture">
                      <pic:pic xmlns:pic="http://schemas.openxmlformats.org/drawingml/2006/picture">
                        <pic:nvPicPr>
                          <pic:cNvPr id="1986" name="矩形_9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88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8" name="矩形_6_SpCnt_47"/>
                  <wp:cNvGraphicFramePr/>
                  <a:graphic xmlns:a="http://schemas.openxmlformats.org/drawingml/2006/main">
                    <a:graphicData uri="http://schemas.openxmlformats.org/drawingml/2006/picture">
                      <pic:pic xmlns:pic="http://schemas.openxmlformats.org/drawingml/2006/picture">
                        <pic:nvPicPr>
                          <pic:cNvPr id="1978" name="矩形_6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398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7" name="矩形_17_SpCnt_47"/>
                  <wp:cNvGraphicFramePr/>
                  <a:graphic xmlns:a="http://schemas.openxmlformats.org/drawingml/2006/main">
                    <a:graphicData uri="http://schemas.openxmlformats.org/drawingml/2006/picture">
                      <pic:pic xmlns:pic="http://schemas.openxmlformats.org/drawingml/2006/picture">
                        <pic:nvPicPr>
                          <pic:cNvPr id="1957" name="矩形_17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08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7" name="矩形_9_SpCnt_47"/>
                  <wp:cNvGraphicFramePr/>
                  <a:graphic xmlns:a="http://schemas.openxmlformats.org/drawingml/2006/main">
                    <a:graphicData uri="http://schemas.openxmlformats.org/drawingml/2006/picture">
                      <pic:pic xmlns:pic="http://schemas.openxmlformats.org/drawingml/2006/picture">
                        <pic:nvPicPr>
                          <pic:cNvPr id="1987" name="矩形_9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18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3" name="矩形_9_SpCnt_48"/>
                  <wp:cNvGraphicFramePr/>
                  <a:graphic xmlns:a="http://schemas.openxmlformats.org/drawingml/2006/main">
                    <a:graphicData uri="http://schemas.openxmlformats.org/drawingml/2006/picture">
                      <pic:pic xmlns:pic="http://schemas.openxmlformats.org/drawingml/2006/picture">
                        <pic:nvPicPr>
                          <pic:cNvPr id="1973" name="矩形_9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29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5" name="矩形_4_SpCnt_47"/>
                  <wp:cNvGraphicFramePr/>
                  <a:graphic xmlns:a="http://schemas.openxmlformats.org/drawingml/2006/main">
                    <a:graphicData uri="http://schemas.openxmlformats.org/drawingml/2006/picture">
                      <pic:pic xmlns:pic="http://schemas.openxmlformats.org/drawingml/2006/picture">
                        <pic:nvPicPr>
                          <pic:cNvPr id="1975" name="矩形_4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39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2" name="矩形_17_SpCnt_48"/>
                  <wp:cNvGraphicFramePr/>
                  <a:graphic xmlns:a="http://schemas.openxmlformats.org/drawingml/2006/main">
                    <a:graphicData uri="http://schemas.openxmlformats.org/drawingml/2006/picture">
                      <pic:pic xmlns:pic="http://schemas.openxmlformats.org/drawingml/2006/picture">
                        <pic:nvPicPr>
                          <pic:cNvPr id="1972" name="矩形_17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49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9" name="矩形_17_SpCnt_49"/>
                  <wp:cNvGraphicFramePr/>
                  <a:graphic xmlns:a="http://schemas.openxmlformats.org/drawingml/2006/main">
                    <a:graphicData uri="http://schemas.openxmlformats.org/drawingml/2006/picture">
                      <pic:pic xmlns:pic="http://schemas.openxmlformats.org/drawingml/2006/picture">
                        <pic:nvPicPr>
                          <pic:cNvPr id="1979" name="矩形_17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59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6" name="矩形_3_SpCnt_49"/>
                  <wp:cNvGraphicFramePr/>
                  <a:graphic xmlns:a="http://schemas.openxmlformats.org/drawingml/2006/main">
                    <a:graphicData uri="http://schemas.openxmlformats.org/drawingml/2006/picture">
                      <pic:pic xmlns:pic="http://schemas.openxmlformats.org/drawingml/2006/picture">
                        <pic:nvPicPr>
                          <pic:cNvPr id="1976" name="矩形_3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70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0" name="矩形_9_SpCnt_49"/>
                  <wp:cNvGraphicFramePr/>
                  <a:graphic xmlns:a="http://schemas.openxmlformats.org/drawingml/2006/main">
                    <a:graphicData uri="http://schemas.openxmlformats.org/drawingml/2006/picture">
                      <pic:pic xmlns:pic="http://schemas.openxmlformats.org/drawingml/2006/picture">
                        <pic:nvPicPr>
                          <pic:cNvPr id="1960" name="矩形_9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80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3" name="矩形_4_SpCnt_48"/>
                  <wp:cNvGraphicFramePr/>
                  <a:graphic xmlns:a="http://schemas.openxmlformats.org/drawingml/2006/main">
                    <a:graphicData uri="http://schemas.openxmlformats.org/drawingml/2006/picture">
                      <pic:pic xmlns:pic="http://schemas.openxmlformats.org/drawingml/2006/picture">
                        <pic:nvPicPr>
                          <pic:cNvPr id="1963" name="矩形_4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490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6" name="矩形_9_SpCnt_50"/>
                  <wp:cNvGraphicFramePr/>
                  <a:graphic xmlns:a="http://schemas.openxmlformats.org/drawingml/2006/main">
                    <a:graphicData uri="http://schemas.openxmlformats.org/drawingml/2006/picture">
                      <pic:pic xmlns:pic="http://schemas.openxmlformats.org/drawingml/2006/picture">
                        <pic:nvPicPr>
                          <pic:cNvPr id="1966" name="矩形_9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00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0" name="矩形_16_SpCnt_46"/>
                  <wp:cNvGraphicFramePr/>
                  <a:graphic xmlns:a="http://schemas.openxmlformats.org/drawingml/2006/main">
                    <a:graphicData uri="http://schemas.openxmlformats.org/drawingml/2006/picture">
                      <pic:pic xmlns:pic="http://schemas.openxmlformats.org/drawingml/2006/picture">
                        <pic:nvPicPr>
                          <pic:cNvPr id="1970" name="矩形_16_SpCnt_4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11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2" name="矩形_9_SpCnt_51"/>
                  <wp:cNvGraphicFramePr/>
                  <a:graphic xmlns:a="http://schemas.openxmlformats.org/drawingml/2006/main">
                    <a:graphicData uri="http://schemas.openxmlformats.org/drawingml/2006/picture">
                      <pic:pic xmlns:pic="http://schemas.openxmlformats.org/drawingml/2006/picture">
                        <pic:nvPicPr>
                          <pic:cNvPr id="1982" name="矩形_9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21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71" name="矩形_4_SpCnt_49"/>
                  <wp:cNvGraphicFramePr/>
                  <a:graphic xmlns:a="http://schemas.openxmlformats.org/drawingml/2006/main">
                    <a:graphicData uri="http://schemas.openxmlformats.org/drawingml/2006/picture">
                      <pic:pic xmlns:pic="http://schemas.openxmlformats.org/drawingml/2006/picture">
                        <pic:nvPicPr>
                          <pic:cNvPr id="1971" name="矩形_4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31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8" name="矩形_6_SpCnt_48"/>
                  <wp:cNvGraphicFramePr/>
                  <a:graphic xmlns:a="http://schemas.openxmlformats.org/drawingml/2006/main">
                    <a:graphicData uri="http://schemas.openxmlformats.org/drawingml/2006/picture">
                      <pic:pic xmlns:pic="http://schemas.openxmlformats.org/drawingml/2006/picture">
                        <pic:nvPicPr>
                          <pic:cNvPr id="1988" name="矩形_6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41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8" name="矩形_4_SpCnt_50"/>
                  <wp:cNvGraphicFramePr/>
                  <a:graphic xmlns:a="http://schemas.openxmlformats.org/drawingml/2006/main">
                    <a:graphicData uri="http://schemas.openxmlformats.org/drawingml/2006/picture">
                      <pic:pic xmlns:pic="http://schemas.openxmlformats.org/drawingml/2006/picture">
                        <pic:nvPicPr>
                          <pic:cNvPr id="1958" name="矩形_4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52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0" name="矩形_9_SpCnt_52"/>
                  <wp:cNvGraphicFramePr/>
                  <a:graphic xmlns:a="http://schemas.openxmlformats.org/drawingml/2006/main">
                    <a:graphicData uri="http://schemas.openxmlformats.org/drawingml/2006/picture">
                      <pic:pic xmlns:pic="http://schemas.openxmlformats.org/drawingml/2006/picture">
                        <pic:nvPicPr>
                          <pic:cNvPr id="1980" name="矩形_9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62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1" name="矩形_6_SpCnt_49"/>
                  <wp:cNvGraphicFramePr/>
                  <a:graphic xmlns:a="http://schemas.openxmlformats.org/drawingml/2006/main">
                    <a:graphicData uri="http://schemas.openxmlformats.org/drawingml/2006/picture">
                      <pic:pic xmlns:pic="http://schemas.openxmlformats.org/drawingml/2006/picture">
                        <pic:nvPicPr>
                          <pic:cNvPr id="1981" name="矩形_6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72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59" name="矩形_4_SpCnt_51"/>
                  <wp:cNvGraphicFramePr/>
                  <a:graphic xmlns:a="http://schemas.openxmlformats.org/drawingml/2006/main">
                    <a:graphicData uri="http://schemas.openxmlformats.org/drawingml/2006/picture">
                      <pic:pic xmlns:pic="http://schemas.openxmlformats.org/drawingml/2006/picture">
                        <pic:nvPicPr>
                          <pic:cNvPr id="1959" name="矩形_4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82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3" name="矩形_9_SpCnt_53"/>
                  <wp:cNvGraphicFramePr/>
                  <a:graphic xmlns:a="http://schemas.openxmlformats.org/drawingml/2006/main">
                    <a:graphicData uri="http://schemas.openxmlformats.org/drawingml/2006/picture">
                      <pic:pic xmlns:pic="http://schemas.openxmlformats.org/drawingml/2006/picture">
                        <pic:nvPicPr>
                          <pic:cNvPr id="1983" name="矩形_9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592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5" name="矩形_17_SpCnt_50"/>
                  <wp:cNvGraphicFramePr/>
                  <a:graphic xmlns:a="http://schemas.openxmlformats.org/drawingml/2006/main">
                    <a:graphicData uri="http://schemas.openxmlformats.org/drawingml/2006/picture">
                      <pic:pic xmlns:pic="http://schemas.openxmlformats.org/drawingml/2006/picture">
                        <pic:nvPicPr>
                          <pic:cNvPr id="1985" name="矩形_17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03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1" name="矩形_16_SpCnt_47"/>
                  <wp:cNvGraphicFramePr/>
                  <a:graphic xmlns:a="http://schemas.openxmlformats.org/drawingml/2006/main">
                    <a:graphicData uri="http://schemas.openxmlformats.org/drawingml/2006/picture">
                      <pic:pic xmlns:pic="http://schemas.openxmlformats.org/drawingml/2006/picture">
                        <pic:nvPicPr>
                          <pic:cNvPr id="1961" name="矩形_16_SpCnt_4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13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7" name="矩形_17_SpCnt_51"/>
                  <wp:cNvGraphicFramePr/>
                  <a:graphic xmlns:a="http://schemas.openxmlformats.org/drawingml/2006/main">
                    <a:graphicData uri="http://schemas.openxmlformats.org/drawingml/2006/picture">
                      <pic:pic xmlns:pic="http://schemas.openxmlformats.org/drawingml/2006/picture">
                        <pic:nvPicPr>
                          <pic:cNvPr id="1967" name="矩形_17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23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4" name="矩形_9_SpCnt_54"/>
                  <wp:cNvGraphicFramePr/>
                  <a:graphic xmlns:a="http://schemas.openxmlformats.org/drawingml/2006/main">
                    <a:graphicData uri="http://schemas.openxmlformats.org/drawingml/2006/picture">
                      <pic:pic xmlns:pic="http://schemas.openxmlformats.org/drawingml/2006/picture">
                        <pic:nvPicPr>
                          <pic:cNvPr id="1964" name="矩形_9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33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65" name="矩形_16_SpCnt_48"/>
                  <wp:cNvGraphicFramePr/>
                  <a:graphic xmlns:a="http://schemas.openxmlformats.org/drawingml/2006/main">
                    <a:graphicData uri="http://schemas.openxmlformats.org/drawingml/2006/picture">
                      <pic:pic xmlns:pic="http://schemas.openxmlformats.org/drawingml/2006/picture">
                        <pic:nvPicPr>
                          <pic:cNvPr id="1965" name="矩形_16_SpCnt_4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44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7" name="矩形_16_SpCnt_49"/>
                  <wp:cNvGraphicFramePr/>
                  <a:graphic xmlns:a="http://schemas.openxmlformats.org/drawingml/2006/main">
                    <a:graphicData uri="http://schemas.openxmlformats.org/drawingml/2006/picture">
                      <pic:pic xmlns:pic="http://schemas.openxmlformats.org/drawingml/2006/picture">
                        <pic:nvPicPr>
                          <pic:cNvPr id="1997" name="矩形_16_SpCnt_4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54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8" name="矩形_17_SpCnt_52"/>
                  <wp:cNvGraphicFramePr/>
                  <a:graphic xmlns:a="http://schemas.openxmlformats.org/drawingml/2006/main">
                    <a:graphicData uri="http://schemas.openxmlformats.org/drawingml/2006/picture">
                      <pic:pic xmlns:pic="http://schemas.openxmlformats.org/drawingml/2006/picture">
                        <pic:nvPicPr>
                          <pic:cNvPr id="2008" name="矩形_17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64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5" name="矩形_4_SpCnt_52"/>
                  <wp:cNvGraphicFramePr/>
                  <a:graphic xmlns:a="http://schemas.openxmlformats.org/drawingml/2006/main">
                    <a:graphicData uri="http://schemas.openxmlformats.org/drawingml/2006/picture">
                      <pic:pic xmlns:pic="http://schemas.openxmlformats.org/drawingml/2006/picture">
                        <pic:nvPicPr>
                          <pic:cNvPr id="2005" name="矩形_4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74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5" name="矩形_9_SpCnt_55"/>
                  <wp:cNvGraphicFramePr/>
                  <a:graphic xmlns:a="http://schemas.openxmlformats.org/drawingml/2006/main">
                    <a:graphicData uri="http://schemas.openxmlformats.org/drawingml/2006/picture">
                      <pic:pic xmlns:pic="http://schemas.openxmlformats.org/drawingml/2006/picture">
                        <pic:nvPicPr>
                          <pic:cNvPr id="2015" name="矩形_9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85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8" name="矩形_4_SpCnt_53"/>
                  <wp:cNvGraphicFramePr/>
                  <a:graphic xmlns:a="http://schemas.openxmlformats.org/drawingml/2006/main">
                    <a:graphicData uri="http://schemas.openxmlformats.org/drawingml/2006/picture">
                      <pic:pic xmlns:pic="http://schemas.openxmlformats.org/drawingml/2006/picture">
                        <pic:nvPicPr>
                          <pic:cNvPr id="1998" name="矩形_4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695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6" name="矩形_3_SpCnt_50"/>
                  <wp:cNvGraphicFramePr/>
                  <a:graphic xmlns:a="http://schemas.openxmlformats.org/drawingml/2006/main">
                    <a:graphicData uri="http://schemas.openxmlformats.org/drawingml/2006/picture">
                      <pic:pic xmlns:pic="http://schemas.openxmlformats.org/drawingml/2006/picture">
                        <pic:nvPicPr>
                          <pic:cNvPr id="2006" name="矩形_3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05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4" name="矩形_17_SpCnt_53"/>
                  <wp:cNvGraphicFramePr/>
                  <a:graphic xmlns:a="http://schemas.openxmlformats.org/drawingml/2006/main">
                    <a:graphicData uri="http://schemas.openxmlformats.org/drawingml/2006/picture">
                      <pic:pic xmlns:pic="http://schemas.openxmlformats.org/drawingml/2006/picture">
                        <pic:nvPicPr>
                          <pic:cNvPr id="1994" name="矩形_17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15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9" name="矩形_17_SpCnt_54"/>
                  <wp:cNvGraphicFramePr/>
                  <a:graphic xmlns:a="http://schemas.openxmlformats.org/drawingml/2006/main">
                    <a:graphicData uri="http://schemas.openxmlformats.org/drawingml/2006/picture">
                      <pic:pic xmlns:pic="http://schemas.openxmlformats.org/drawingml/2006/picture">
                        <pic:nvPicPr>
                          <pic:cNvPr id="2009" name="矩形_17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26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9" name="矩形_4_SpCnt_54"/>
                  <wp:cNvGraphicFramePr/>
                  <a:graphic xmlns:a="http://schemas.openxmlformats.org/drawingml/2006/main">
                    <a:graphicData uri="http://schemas.openxmlformats.org/drawingml/2006/picture">
                      <pic:pic xmlns:pic="http://schemas.openxmlformats.org/drawingml/2006/picture">
                        <pic:nvPicPr>
                          <pic:cNvPr id="1999" name="矩形_4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36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3" name="矩形_17_SpCnt_55"/>
                  <wp:cNvGraphicFramePr/>
                  <a:graphic xmlns:a="http://schemas.openxmlformats.org/drawingml/2006/main">
                    <a:graphicData uri="http://schemas.openxmlformats.org/drawingml/2006/picture">
                      <pic:pic xmlns:pic="http://schemas.openxmlformats.org/drawingml/2006/picture">
                        <pic:nvPicPr>
                          <pic:cNvPr id="2013" name="矩形_17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46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0" name="矩形_4_SpCnt_55"/>
                  <wp:cNvGraphicFramePr/>
                  <a:graphic xmlns:a="http://schemas.openxmlformats.org/drawingml/2006/main">
                    <a:graphicData uri="http://schemas.openxmlformats.org/drawingml/2006/picture">
                      <pic:pic xmlns:pic="http://schemas.openxmlformats.org/drawingml/2006/picture">
                        <pic:nvPicPr>
                          <pic:cNvPr id="2010" name="矩形_4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56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0" name="矩形_9_SpCnt_56"/>
                  <wp:cNvGraphicFramePr/>
                  <a:graphic xmlns:a="http://schemas.openxmlformats.org/drawingml/2006/main">
                    <a:graphicData uri="http://schemas.openxmlformats.org/drawingml/2006/picture">
                      <pic:pic xmlns:pic="http://schemas.openxmlformats.org/drawingml/2006/picture">
                        <pic:nvPicPr>
                          <pic:cNvPr id="1990" name="矩形_9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67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7" name="矩形_4_SpCnt_56"/>
                  <wp:cNvGraphicFramePr/>
                  <a:graphic xmlns:a="http://schemas.openxmlformats.org/drawingml/2006/main">
                    <a:graphicData uri="http://schemas.openxmlformats.org/drawingml/2006/picture">
                      <pic:pic xmlns:pic="http://schemas.openxmlformats.org/drawingml/2006/picture">
                        <pic:nvPicPr>
                          <pic:cNvPr id="2007" name="矩形_4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77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3" name="矩形_9_SpCnt_57"/>
                  <wp:cNvGraphicFramePr/>
                  <a:graphic xmlns:a="http://schemas.openxmlformats.org/drawingml/2006/main">
                    <a:graphicData uri="http://schemas.openxmlformats.org/drawingml/2006/picture">
                      <pic:pic xmlns:pic="http://schemas.openxmlformats.org/drawingml/2006/picture">
                        <pic:nvPicPr>
                          <pic:cNvPr id="2003" name="矩形_9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87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1" name="矩形_17_SpCnt_56"/>
                  <wp:cNvGraphicFramePr/>
                  <a:graphic xmlns:a="http://schemas.openxmlformats.org/drawingml/2006/main">
                    <a:graphicData uri="http://schemas.openxmlformats.org/drawingml/2006/picture">
                      <pic:pic xmlns:pic="http://schemas.openxmlformats.org/drawingml/2006/picture">
                        <pic:nvPicPr>
                          <pic:cNvPr id="1991" name="矩形_17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797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3" name="矩形_9_SpCnt_58"/>
                  <wp:cNvGraphicFramePr/>
                  <a:graphic xmlns:a="http://schemas.openxmlformats.org/drawingml/2006/main">
                    <a:graphicData uri="http://schemas.openxmlformats.org/drawingml/2006/picture">
                      <pic:pic xmlns:pic="http://schemas.openxmlformats.org/drawingml/2006/picture">
                        <pic:nvPicPr>
                          <pic:cNvPr id="1993" name="矩形_9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08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0" name="矩形_3_SpCnt_51"/>
                  <wp:cNvGraphicFramePr/>
                  <a:graphic xmlns:a="http://schemas.openxmlformats.org/drawingml/2006/main">
                    <a:graphicData uri="http://schemas.openxmlformats.org/drawingml/2006/picture">
                      <pic:pic xmlns:pic="http://schemas.openxmlformats.org/drawingml/2006/picture">
                        <pic:nvPicPr>
                          <pic:cNvPr id="2000" name="矩形_3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18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1" name="矩形_17_SpCnt_57"/>
                  <wp:cNvGraphicFramePr/>
                  <a:graphic xmlns:a="http://schemas.openxmlformats.org/drawingml/2006/main">
                    <a:graphicData uri="http://schemas.openxmlformats.org/drawingml/2006/picture">
                      <pic:pic xmlns:pic="http://schemas.openxmlformats.org/drawingml/2006/picture">
                        <pic:nvPicPr>
                          <pic:cNvPr id="2011" name="矩形_17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28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2" name="矩形_4_SpCnt_57"/>
                  <wp:cNvGraphicFramePr/>
                  <a:graphic xmlns:a="http://schemas.openxmlformats.org/drawingml/2006/main">
                    <a:graphicData uri="http://schemas.openxmlformats.org/drawingml/2006/picture">
                      <pic:pic xmlns:pic="http://schemas.openxmlformats.org/drawingml/2006/picture">
                        <pic:nvPicPr>
                          <pic:cNvPr id="1992" name="矩形_4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38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5" name="矩形_3_SpCnt_52"/>
                  <wp:cNvGraphicFramePr/>
                  <a:graphic xmlns:a="http://schemas.openxmlformats.org/drawingml/2006/main">
                    <a:graphicData uri="http://schemas.openxmlformats.org/drawingml/2006/picture">
                      <pic:pic xmlns:pic="http://schemas.openxmlformats.org/drawingml/2006/picture">
                        <pic:nvPicPr>
                          <pic:cNvPr id="1995" name="矩形_3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48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1" name="矩形_16_SpCnt_50"/>
                  <wp:cNvGraphicFramePr/>
                  <a:graphic xmlns:a="http://schemas.openxmlformats.org/drawingml/2006/main">
                    <a:graphicData uri="http://schemas.openxmlformats.org/drawingml/2006/picture">
                      <pic:pic xmlns:pic="http://schemas.openxmlformats.org/drawingml/2006/picture">
                        <pic:nvPicPr>
                          <pic:cNvPr id="2001" name="矩形_16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59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4" name="矩形_9_SpCnt_59"/>
                  <wp:cNvGraphicFramePr/>
                  <a:graphic xmlns:a="http://schemas.openxmlformats.org/drawingml/2006/main">
                    <a:graphicData uri="http://schemas.openxmlformats.org/drawingml/2006/picture">
                      <pic:pic xmlns:pic="http://schemas.openxmlformats.org/drawingml/2006/picture">
                        <pic:nvPicPr>
                          <pic:cNvPr id="2014" name="矩形_9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69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96" name="矩形_16_SpCnt_51"/>
                  <wp:cNvGraphicFramePr/>
                  <a:graphic xmlns:a="http://schemas.openxmlformats.org/drawingml/2006/main">
                    <a:graphicData uri="http://schemas.openxmlformats.org/drawingml/2006/picture">
                      <pic:pic xmlns:pic="http://schemas.openxmlformats.org/drawingml/2006/picture">
                        <pic:nvPicPr>
                          <pic:cNvPr id="1996" name="矩形_16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79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2" name="矩形_17_SpCnt_58"/>
                  <wp:cNvGraphicFramePr/>
                  <a:graphic xmlns:a="http://schemas.openxmlformats.org/drawingml/2006/main">
                    <a:graphicData uri="http://schemas.openxmlformats.org/drawingml/2006/picture">
                      <pic:pic xmlns:pic="http://schemas.openxmlformats.org/drawingml/2006/picture">
                        <pic:nvPicPr>
                          <pic:cNvPr id="2002" name="矩形_17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889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6" name="矩形_16_SpCnt_52"/>
                  <wp:cNvGraphicFramePr/>
                  <a:graphic xmlns:a="http://schemas.openxmlformats.org/drawingml/2006/main">
                    <a:graphicData uri="http://schemas.openxmlformats.org/drawingml/2006/picture">
                      <pic:pic xmlns:pic="http://schemas.openxmlformats.org/drawingml/2006/picture">
                        <pic:nvPicPr>
                          <pic:cNvPr id="2016" name="矩形_16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00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2" name="矩形_9_SpCnt_60"/>
                  <wp:cNvGraphicFramePr/>
                  <a:graphic xmlns:a="http://schemas.openxmlformats.org/drawingml/2006/main">
                    <a:graphicData uri="http://schemas.openxmlformats.org/drawingml/2006/picture">
                      <pic:pic xmlns:pic="http://schemas.openxmlformats.org/drawingml/2006/picture">
                        <pic:nvPicPr>
                          <pic:cNvPr id="2012" name="矩形_9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10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0" name="矩形_6_SpCnt_50"/>
                  <wp:cNvGraphicFramePr/>
                  <a:graphic xmlns:a="http://schemas.openxmlformats.org/drawingml/2006/main">
                    <a:graphicData uri="http://schemas.openxmlformats.org/drawingml/2006/picture">
                      <pic:pic xmlns:pic="http://schemas.openxmlformats.org/drawingml/2006/picture">
                        <pic:nvPicPr>
                          <pic:cNvPr id="2020" name="矩形_6_SpCnt_5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20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7" name="矩形_17_SpCnt_59"/>
                  <wp:cNvGraphicFramePr/>
                  <a:graphic xmlns:a="http://schemas.openxmlformats.org/drawingml/2006/main">
                    <a:graphicData uri="http://schemas.openxmlformats.org/drawingml/2006/picture">
                      <pic:pic xmlns:pic="http://schemas.openxmlformats.org/drawingml/2006/picture">
                        <pic:nvPicPr>
                          <pic:cNvPr id="2017" name="矩形_17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30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04" name="矩形_3_SpCnt_53"/>
                  <wp:cNvGraphicFramePr/>
                  <a:graphic xmlns:a="http://schemas.openxmlformats.org/drawingml/2006/main">
                    <a:graphicData uri="http://schemas.openxmlformats.org/drawingml/2006/picture">
                      <pic:pic xmlns:pic="http://schemas.openxmlformats.org/drawingml/2006/picture">
                        <pic:nvPicPr>
                          <pic:cNvPr id="2004" name="矩形_3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41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8" name="矩形_16_SpCnt_53"/>
                  <wp:cNvGraphicFramePr/>
                  <a:graphic xmlns:a="http://schemas.openxmlformats.org/drawingml/2006/main">
                    <a:graphicData uri="http://schemas.openxmlformats.org/drawingml/2006/picture">
                      <pic:pic xmlns:pic="http://schemas.openxmlformats.org/drawingml/2006/picture">
                        <pic:nvPicPr>
                          <pic:cNvPr id="2018" name="矩形_16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51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19" name="矩形_6_SpCnt_51"/>
                  <wp:cNvGraphicFramePr/>
                  <a:graphic xmlns:a="http://schemas.openxmlformats.org/drawingml/2006/main">
                    <a:graphicData uri="http://schemas.openxmlformats.org/drawingml/2006/picture">
                      <pic:pic xmlns:pic="http://schemas.openxmlformats.org/drawingml/2006/picture">
                        <pic:nvPicPr>
                          <pic:cNvPr id="2019" name="矩形_6_SpCnt_5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61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1989" name="矩形_17_SpCnt_60"/>
                  <wp:cNvGraphicFramePr/>
                  <a:graphic xmlns:a="http://schemas.openxmlformats.org/drawingml/2006/main">
                    <a:graphicData uri="http://schemas.openxmlformats.org/drawingml/2006/picture">
                      <pic:pic xmlns:pic="http://schemas.openxmlformats.org/drawingml/2006/picture">
                        <pic:nvPicPr>
                          <pic:cNvPr id="1989" name="矩形_17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71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3" name="矩形_9_SpCnt_61"/>
                  <wp:cNvGraphicFramePr/>
                  <a:graphic xmlns:a="http://schemas.openxmlformats.org/drawingml/2006/main">
                    <a:graphicData uri="http://schemas.openxmlformats.org/drawingml/2006/picture">
                      <pic:pic xmlns:pic="http://schemas.openxmlformats.org/drawingml/2006/picture">
                        <pic:nvPicPr>
                          <pic:cNvPr id="2023" name="矩形_9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82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8" name="矩形_4_SpCnt_58"/>
                  <wp:cNvGraphicFramePr/>
                  <a:graphic xmlns:a="http://schemas.openxmlformats.org/drawingml/2006/main">
                    <a:graphicData uri="http://schemas.openxmlformats.org/drawingml/2006/picture">
                      <pic:pic xmlns:pic="http://schemas.openxmlformats.org/drawingml/2006/picture">
                        <pic:nvPicPr>
                          <pic:cNvPr id="2028" name="矩形_4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19992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3" name="矩形_3_SpCnt_54"/>
                  <wp:cNvGraphicFramePr/>
                  <a:graphic xmlns:a="http://schemas.openxmlformats.org/drawingml/2006/main">
                    <a:graphicData uri="http://schemas.openxmlformats.org/drawingml/2006/picture">
                      <pic:pic xmlns:pic="http://schemas.openxmlformats.org/drawingml/2006/picture">
                        <pic:nvPicPr>
                          <pic:cNvPr id="2033" name="矩形_3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02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0" name="矩形_17_SpCnt_61"/>
                  <wp:cNvGraphicFramePr/>
                  <a:graphic xmlns:a="http://schemas.openxmlformats.org/drawingml/2006/main">
                    <a:graphicData uri="http://schemas.openxmlformats.org/drawingml/2006/picture">
                      <pic:pic xmlns:pic="http://schemas.openxmlformats.org/drawingml/2006/picture">
                        <pic:nvPicPr>
                          <pic:cNvPr id="2040" name="矩形_17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12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4" name="矩形_16_SpCnt_54"/>
                  <wp:cNvGraphicFramePr/>
                  <a:graphic xmlns:a="http://schemas.openxmlformats.org/drawingml/2006/main">
                    <a:graphicData uri="http://schemas.openxmlformats.org/drawingml/2006/picture">
                      <pic:pic xmlns:pic="http://schemas.openxmlformats.org/drawingml/2006/picture">
                        <pic:nvPicPr>
                          <pic:cNvPr id="2024" name="矩形_16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23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6" name="矩形_6_SpCnt_52"/>
                  <wp:cNvGraphicFramePr/>
                  <a:graphic xmlns:a="http://schemas.openxmlformats.org/drawingml/2006/main">
                    <a:graphicData uri="http://schemas.openxmlformats.org/drawingml/2006/picture">
                      <pic:pic xmlns:pic="http://schemas.openxmlformats.org/drawingml/2006/picture">
                        <pic:nvPicPr>
                          <pic:cNvPr id="2036" name="矩形_6_SpCnt_5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33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2" name="矩形_4_SpCnt_59"/>
                  <wp:cNvGraphicFramePr/>
                  <a:graphic xmlns:a="http://schemas.openxmlformats.org/drawingml/2006/main">
                    <a:graphicData uri="http://schemas.openxmlformats.org/drawingml/2006/picture">
                      <pic:pic xmlns:pic="http://schemas.openxmlformats.org/drawingml/2006/picture">
                        <pic:nvPicPr>
                          <pic:cNvPr id="2032" name="矩形_4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43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0" name="矩形_4_SpCnt_60"/>
                  <wp:cNvGraphicFramePr/>
                  <a:graphic xmlns:a="http://schemas.openxmlformats.org/drawingml/2006/main">
                    <a:graphicData uri="http://schemas.openxmlformats.org/drawingml/2006/picture">
                      <pic:pic xmlns:pic="http://schemas.openxmlformats.org/drawingml/2006/picture">
                        <pic:nvPicPr>
                          <pic:cNvPr id="2050" name="矩形_4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53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8" name="矩形_3_SpCnt_55"/>
                  <wp:cNvGraphicFramePr/>
                  <a:graphic xmlns:a="http://schemas.openxmlformats.org/drawingml/2006/main">
                    <a:graphicData uri="http://schemas.openxmlformats.org/drawingml/2006/picture">
                      <pic:pic xmlns:pic="http://schemas.openxmlformats.org/drawingml/2006/picture">
                        <pic:nvPicPr>
                          <pic:cNvPr id="2048" name="矩形_3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64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4" name="矩形_16_SpCnt_55"/>
                  <wp:cNvGraphicFramePr/>
                  <a:graphic xmlns:a="http://schemas.openxmlformats.org/drawingml/2006/main">
                    <a:graphicData uri="http://schemas.openxmlformats.org/drawingml/2006/picture">
                      <pic:pic xmlns:pic="http://schemas.openxmlformats.org/drawingml/2006/picture">
                        <pic:nvPicPr>
                          <pic:cNvPr id="2034" name="矩形_16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74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5" name="矩形_9_SpCnt_62"/>
                  <wp:cNvGraphicFramePr/>
                  <a:graphic xmlns:a="http://schemas.openxmlformats.org/drawingml/2006/main">
                    <a:graphicData uri="http://schemas.openxmlformats.org/drawingml/2006/picture">
                      <pic:pic xmlns:pic="http://schemas.openxmlformats.org/drawingml/2006/picture">
                        <pic:nvPicPr>
                          <pic:cNvPr id="2045" name="矩形_9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84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9" name="矩形_17_SpCnt_62"/>
                  <wp:cNvGraphicFramePr/>
                  <a:graphic xmlns:a="http://schemas.openxmlformats.org/drawingml/2006/main">
                    <a:graphicData uri="http://schemas.openxmlformats.org/drawingml/2006/picture">
                      <pic:pic xmlns:pic="http://schemas.openxmlformats.org/drawingml/2006/picture">
                        <pic:nvPicPr>
                          <pic:cNvPr id="2049" name="矩形_17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094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6" name="矩形_6_SpCnt_53"/>
                  <wp:cNvGraphicFramePr/>
                  <a:graphic xmlns:a="http://schemas.openxmlformats.org/drawingml/2006/main">
                    <a:graphicData uri="http://schemas.openxmlformats.org/drawingml/2006/picture">
                      <pic:pic xmlns:pic="http://schemas.openxmlformats.org/drawingml/2006/picture">
                        <pic:nvPicPr>
                          <pic:cNvPr id="2046" name="矩形_6_SpCnt_5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04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1" name="矩形_6_SpCnt_54"/>
                  <wp:cNvGraphicFramePr/>
                  <a:graphic xmlns:a="http://schemas.openxmlformats.org/drawingml/2006/main">
                    <a:graphicData uri="http://schemas.openxmlformats.org/drawingml/2006/picture">
                      <pic:pic xmlns:pic="http://schemas.openxmlformats.org/drawingml/2006/picture">
                        <pic:nvPicPr>
                          <pic:cNvPr id="2031" name="矩形_6_SpCnt_5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15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2" name="矩形_3_SpCnt_56"/>
                  <wp:cNvGraphicFramePr/>
                  <a:graphic xmlns:a="http://schemas.openxmlformats.org/drawingml/2006/main">
                    <a:graphicData uri="http://schemas.openxmlformats.org/drawingml/2006/picture">
                      <pic:pic xmlns:pic="http://schemas.openxmlformats.org/drawingml/2006/picture">
                        <pic:nvPicPr>
                          <pic:cNvPr id="2052" name="矩形_3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25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0" name="矩形_4_SpCnt_61"/>
                  <wp:cNvGraphicFramePr/>
                  <a:graphic xmlns:a="http://schemas.openxmlformats.org/drawingml/2006/main">
                    <a:graphicData uri="http://schemas.openxmlformats.org/drawingml/2006/picture">
                      <pic:pic xmlns:pic="http://schemas.openxmlformats.org/drawingml/2006/picture">
                        <pic:nvPicPr>
                          <pic:cNvPr id="2030" name="矩形_4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35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5" name="矩形_6_SpCnt_55"/>
                  <wp:cNvGraphicFramePr/>
                  <a:graphic xmlns:a="http://schemas.openxmlformats.org/drawingml/2006/main">
                    <a:graphicData uri="http://schemas.openxmlformats.org/drawingml/2006/picture">
                      <pic:pic xmlns:pic="http://schemas.openxmlformats.org/drawingml/2006/picture">
                        <pic:nvPicPr>
                          <pic:cNvPr id="2035" name="矩形_6_SpCnt_5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45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7" name="矩形_4_SpCnt_62"/>
                  <wp:cNvGraphicFramePr/>
                  <a:graphic xmlns:a="http://schemas.openxmlformats.org/drawingml/2006/main">
                    <a:graphicData uri="http://schemas.openxmlformats.org/drawingml/2006/picture">
                      <pic:pic xmlns:pic="http://schemas.openxmlformats.org/drawingml/2006/picture">
                        <pic:nvPicPr>
                          <pic:cNvPr id="2047" name="矩形_4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56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1" name="矩形_3_SpCnt_57"/>
                  <wp:cNvGraphicFramePr/>
                  <a:graphic xmlns:a="http://schemas.openxmlformats.org/drawingml/2006/main">
                    <a:graphicData uri="http://schemas.openxmlformats.org/drawingml/2006/picture">
                      <pic:pic xmlns:pic="http://schemas.openxmlformats.org/drawingml/2006/picture">
                        <pic:nvPicPr>
                          <pic:cNvPr id="2021" name="矩形_3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66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1" name="矩形_16_SpCnt_56"/>
                  <wp:cNvGraphicFramePr/>
                  <a:graphic xmlns:a="http://schemas.openxmlformats.org/drawingml/2006/main">
                    <a:graphicData uri="http://schemas.openxmlformats.org/drawingml/2006/picture">
                      <pic:pic xmlns:pic="http://schemas.openxmlformats.org/drawingml/2006/picture">
                        <pic:nvPicPr>
                          <pic:cNvPr id="2041" name="矩形_16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76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1" name="矩形_6_SpCnt_56"/>
                  <wp:cNvGraphicFramePr/>
                  <a:graphic xmlns:a="http://schemas.openxmlformats.org/drawingml/2006/main">
                    <a:graphicData uri="http://schemas.openxmlformats.org/drawingml/2006/picture">
                      <pic:pic xmlns:pic="http://schemas.openxmlformats.org/drawingml/2006/picture">
                        <pic:nvPicPr>
                          <pic:cNvPr id="2051" name="矩形_6_SpCnt_5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86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2" name="矩形_3_SpCnt_58"/>
                  <wp:cNvGraphicFramePr/>
                  <a:graphic xmlns:a="http://schemas.openxmlformats.org/drawingml/2006/main">
                    <a:graphicData uri="http://schemas.openxmlformats.org/drawingml/2006/picture">
                      <pic:pic xmlns:pic="http://schemas.openxmlformats.org/drawingml/2006/picture">
                        <pic:nvPicPr>
                          <pic:cNvPr id="2022" name="矩形_3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197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5" name="矩形_4_SpCnt_63"/>
                  <wp:cNvGraphicFramePr/>
                  <a:graphic xmlns:a="http://schemas.openxmlformats.org/drawingml/2006/main">
                    <a:graphicData uri="http://schemas.openxmlformats.org/drawingml/2006/picture">
                      <pic:pic xmlns:pic="http://schemas.openxmlformats.org/drawingml/2006/picture">
                        <pic:nvPicPr>
                          <pic:cNvPr id="2025" name="矩形_4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07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4" name="矩形_9_SpCnt_63"/>
                  <wp:cNvGraphicFramePr/>
                  <a:graphic xmlns:a="http://schemas.openxmlformats.org/drawingml/2006/main">
                    <a:graphicData uri="http://schemas.openxmlformats.org/drawingml/2006/picture">
                      <pic:pic xmlns:pic="http://schemas.openxmlformats.org/drawingml/2006/picture">
                        <pic:nvPicPr>
                          <pic:cNvPr id="2044" name="矩形_9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17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9" name="矩形_16_SpCnt_57"/>
                  <wp:cNvGraphicFramePr/>
                  <a:graphic xmlns:a="http://schemas.openxmlformats.org/drawingml/2006/main">
                    <a:graphicData uri="http://schemas.openxmlformats.org/drawingml/2006/picture">
                      <pic:pic xmlns:pic="http://schemas.openxmlformats.org/drawingml/2006/picture">
                        <pic:nvPicPr>
                          <pic:cNvPr id="2029" name="矩形_16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27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6" name="矩形_16_SpCnt_58"/>
                  <wp:cNvGraphicFramePr/>
                  <a:graphic xmlns:a="http://schemas.openxmlformats.org/drawingml/2006/main">
                    <a:graphicData uri="http://schemas.openxmlformats.org/drawingml/2006/picture">
                      <pic:pic xmlns:pic="http://schemas.openxmlformats.org/drawingml/2006/picture">
                        <pic:nvPicPr>
                          <pic:cNvPr id="2026" name="矩形_16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38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2" name="矩形_9_SpCnt_64"/>
                  <wp:cNvGraphicFramePr/>
                  <a:graphic xmlns:a="http://schemas.openxmlformats.org/drawingml/2006/main">
                    <a:graphicData uri="http://schemas.openxmlformats.org/drawingml/2006/picture">
                      <pic:pic xmlns:pic="http://schemas.openxmlformats.org/drawingml/2006/picture">
                        <pic:nvPicPr>
                          <pic:cNvPr id="2042" name="矩形_9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48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7" name="矩形_6_SpCnt_57"/>
                  <wp:cNvGraphicFramePr/>
                  <a:graphic xmlns:a="http://schemas.openxmlformats.org/drawingml/2006/main">
                    <a:graphicData uri="http://schemas.openxmlformats.org/drawingml/2006/picture">
                      <pic:pic xmlns:pic="http://schemas.openxmlformats.org/drawingml/2006/picture">
                        <pic:nvPicPr>
                          <pic:cNvPr id="2037" name="矩形_6_SpCnt_5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58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8" name="矩形_4_SpCnt_64"/>
                  <wp:cNvGraphicFramePr/>
                  <a:graphic xmlns:a="http://schemas.openxmlformats.org/drawingml/2006/main">
                    <a:graphicData uri="http://schemas.openxmlformats.org/drawingml/2006/picture">
                      <pic:pic xmlns:pic="http://schemas.openxmlformats.org/drawingml/2006/picture">
                        <pic:nvPicPr>
                          <pic:cNvPr id="2038" name="矩形_4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68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27" name="矩形_3_SpCnt_59"/>
                  <wp:cNvGraphicFramePr/>
                  <a:graphic xmlns:a="http://schemas.openxmlformats.org/drawingml/2006/main">
                    <a:graphicData uri="http://schemas.openxmlformats.org/drawingml/2006/picture">
                      <pic:pic xmlns:pic="http://schemas.openxmlformats.org/drawingml/2006/picture">
                        <pic:nvPicPr>
                          <pic:cNvPr id="2027" name="矩形_3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79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43" name="矩形_17_SpCnt_63"/>
                  <wp:cNvGraphicFramePr/>
                  <a:graphic xmlns:a="http://schemas.openxmlformats.org/drawingml/2006/main">
                    <a:graphicData uri="http://schemas.openxmlformats.org/drawingml/2006/picture">
                      <pic:pic xmlns:pic="http://schemas.openxmlformats.org/drawingml/2006/picture">
                        <pic:nvPicPr>
                          <pic:cNvPr id="2043" name="矩形_17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89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39" name="矩形_16_SpCnt_59"/>
                  <wp:cNvGraphicFramePr/>
                  <a:graphic xmlns:a="http://schemas.openxmlformats.org/drawingml/2006/main">
                    <a:graphicData uri="http://schemas.openxmlformats.org/drawingml/2006/picture">
                      <pic:pic xmlns:pic="http://schemas.openxmlformats.org/drawingml/2006/picture">
                        <pic:nvPicPr>
                          <pic:cNvPr id="2039" name="矩形_16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299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9" name="矩形_6_SpCnt_58"/>
                  <wp:cNvGraphicFramePr/>
                  <a:graphic xmlns:a="http://schemas.openxmlformats.org/drawingml/2006/main">
                    <a:graphicData uri="http://schemas.openxmlformats.org/drawingml/2006/picture">
                      <pic:pic xmlns:pic="http://schemas.openxmlformats.org/drawingml/2006/picture">
                        <pic:nvPicPr>
                          <pic:cNvPr id="2069" name="矩形_6_SpCnt_5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09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5" name="矩形_4_SpCnt_65"/>
                  <wp:cNvGraphicFramePr/>
                  <a:graphic xmlns:a="http://schemas.openxmlformats.org/drawingml/2006/main">
                    <a:graphicData uri="http://schemas.openxmlformats.org/drawingml/2006/picture">
                      <pic:pic xmlns:pic="http://schemas.openxmlformats.org/drawingml/2006/picture">
                        <pic:nvPicPr>
                          <pic:cNvPr id="2075" name="矩形_4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20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4" name="矩形_6_SpCnt_59"/>
                  <wp:cNvGraphicFramePr/>
                  <a:graphic xmlns:a="http://schemas.openxmlformats.org/drawingml/2006/main">
                    <a:graphicData uri="http://schemas.openxmlformats.org/drawingml/2006/picture">
                      <pic:pic xmlns:pic="http://schemas.openxmlformats.org/drawingml/2006/picture">
                        <pic:nvPicPr>
                          <pic:cNvPr id="2084" name="矩形_6_SpCnt_5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30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3" name="矩形_3_SpCnt_60"/>
                  <wp:cNvGraphicFramePr/>
                  <a:graphic xmlns:a="http://schemas.openxmlformats.org/drawingml/2006/main">
                    <a:graphicData uri="http://schemas.openxmlformats.org/drawingml/2006/picture">
                      <pic:pic xmlns:pic="http://schemas.openxmlformats.org/drawingml/2006/picture">
                        <pic:nvPicPr>
                          <pic:cNvPr id="2053" name="矩形_3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40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2" name="矩形_17_SpCnt_64"/>
                  <wp:cNvGraphicFramePr/>
                  <a:graphic xmlns:a="http://schemas.openxmlformats.org/drawingml/2006/main">
                    <a:graphicData uri="http://schemas.openxmlformats.org/drawingml/2006/picture">
                      <pic:pic xmlns:pic="http://schemas.openxmlformats.org/drawingml/2006/picture">
                        <pic:nvPicPr>
                          <pic:cNvPr id="2072" name="矩形_17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50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8" name="矩形_9_SpCnt_65"/>
                  <wp:cNvGraphicFramePr/>
                  <a:graphic xmlns:a="http://schemas.openxmlformats.org/drawingml/2006/main">
                    <a:graphicData uri="http://schemas.openxmlformats.org/drawingml/2006/picture">
                      <pic:pic xmlns:pic="http://schemas.openxmlformats.org/drawingml/2006/picture">
                        <pic:nvPicPr>
                          <pic:cNvPr id="2078" name="矩形_9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60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8" name="矩形_16_SpCnt_60"/>
                  <wp:cNvGraphicFramePr/>
                  <a:graphic xmlns:a="http://schemas.openxmlformats.org/drawingml/2006/main">
                    <a:graphicData uri="http://schemas.openxmlformats.org/drawingml/2006/picture">
                      <pic:pic xmlns:pic="http://schemas.openxmlformats.org/drawingml/2006/picture">
                        <pic:nvPicPr>
                          <pic:cNvPr id="2058" name="矩形_16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71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4" name="矩形_3_SpCnt_61"/>
                  <wp:cNvGraphicFramePr/>
                  <a:graphic xmlns:a="http://schemas.openxmlformats.org/drawingml/2006/main">
                    <a:graphicData uri="http://schemas.openxmlformats.org/drawingml/2006/picture">
                      <pic:pic xmlns:pic="http://schemas.openxmlformats.org/drawingml/2006/picture">
                        <pic:nvPicPr>
                          <pic:cNvPr id="2054" name="矩形_3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81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0" name="矩形_17_SpCnt_65"/>
                  <wp:cNvGraphicFramePr/>
                  <a:graphic xmlns:a="http://schemas.openxmlformats.org/drawingml/2006/main">
                    <a:graphicData uri="http://schemas.openxmlformats.org/drawingml/2006/picture">
                      <pic:pic xmlns:pic="http://schemas.openxmlformats.org/drawingml/2006/picture">
                        <pic:nvPicPr>
                          <pic:cNvPr id="2070" name="矩形_17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391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6" name="矩形_16_SpCnt_61"/>
                  <wp:cNvGraphicFramePr/>
                  <a:graphic xmlns:a="http://schemas.openxmlformats.org/drawingml/2006/main">
                    <a:graphicData uri="http://schemas.openxmlformats.org/drawingml/2006/picture">
                      <pic:pic xmlns:pic="http://schemas.openxmlformats.org/drawingml/2006/picture">
                        <pic:nvPicPr>
                          <pic:cNvPr id="2056" name="矩形_16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01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7" name="矩形_9_SpCnt_66"/>
                  <wp:cNvGraphicFramePr/>
                  <a:graphic xmlns:a="http://schemas.openxmlformats.org/drawingml/2006/main">
                    <a:graphicData uri="http://schemas.openxmlformats.org/drawingml/2006/picture">
                      <pic:pic xmlns:pic="http://schemas.openxmlformats.org/drawingml/2006/picture">
                        <pic:nvPicPr>
                          <pic:cNvPr id="2057" name="矩形_9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12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0" name="矩形_6_SpCnt_60"/>
                  <wp:cNvGraphicFramePr/>
                  <a:graphic xmlns:a="http://schemas.openxmlformats.org/drawingml/2006/main">
                    <a:graphicData uri="http://schemas.openxmlformats.org/drawingml/2006/picture">
                      <pic:pic xmlns:pic="http://schemas.openxmlformats.org/drawingml/2006/picture">
                        <pic:nvPicPr>
                          <pic:cNvPr id="2080" name="矩形_6_SpCnt_6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22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9" name="矩形_3_SpCnt_62"/>
                  <wp:cNvGraphicFramePr/>
                  <a:graphic xmlns:a="http://schemas.openxmlformats.org/drawingml/2006/main">
                    <a:graphicData uri="http://schemas.openxmlformats.org/drawingml/2006/picture">
                      <pic:pic xmlns:pic="http://schemas.openxmlformats.org/drawingml/2006/picture">
                        <pic:nvPicPr>
                          <pic:cNvPr id="2079" name="矩形_3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32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3" name="矩形_9_SpCnt_67"/>
                  <wp:cNvGraphicFramePr/>
                  <a:graphic xmlns:a="http://schemas.openxmlformats.org/drawingml/2006/main">
                    <a:graphicData uri="http://schemas.openxmlformats.org/drawingml/2006/picture">
                      <pic:pic xmlns:pic="http://schemas.openxmlformats.org/drawingml/2006/picture">
                        <pic:nvPicPr>
                          <pic:cNvPr id="2083" name="矩形_9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42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3" name="矩形_4_SpCnt_66"/>
                  <wp:cNvGraphicFramePr/>
                  <a:graphic xmlns:a="http://schemas.openxmlformats.org/drawingml/2006/main">
                    <a:graphicData uri="http://schemas.openxmlformats.org/drawingml/2006/picture">
                      <pic:pic xmlns:pic="http://schemas.openxmlformats.org/drawingml/2006/picture">
                        <pic:nvPicPr>
                          <pic:cNvPr id="2063" name="矩形_4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53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6" name="矩形_17_SpCnt_66"/>
                  <wp:cNvGraphicFramePr/>
                  <a:graphic xmlns:a="http://schemas.openxmlformats.org/drawingml/2006/main">
                    <a:graphicData uri="http://schemas.openxmlformats.org/drawingml/2006/picture">
                      <pic:pic xmlns:pic="http://schemas.openxmlformats.org/drawingml/2006/picture">
                        <pic:nvPicPr>
                          <pic:cNvPr id="2076" name="矩形_17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63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1" name="矩形_6_SpCnt_61"/>
                  <wp:cNvGraphicFramePr/>
                  <a:graphic xmlns:a="http://schemas.openxmlformats.org/drawingml/2006/main">
                    <a:graphicData uri="http://schemas.openxmlformats.org/drawingml/2006/picture">
                      <pic:pic xmlns:pic="http://schemas.openxmlformats.org/drawingml/2006/picture">
                        <pic:nvPicPr>
                          <pic:cNvPr id="2071" name="矩形_6_SpCnt_6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73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8" name="矩形_4_SpCnt_67"/>
                  <wp:cNvGraphicFramePr/>
                  <a:graphic xmlns:a="http://schemas.openxmlformats.org/drawingml/2006/main">
                    <a:graphicData uri="http://schemas.openxmlformats.org/drawingml/2006/picture">
                      <pic:pic xmlns:pic="http://schemas.openxmlformats.org/drawingml/2006/picture">
                        <pic:nvPicPr>
                          <pic:cNvPr id="2068" name="矩形_4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838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9" name="矩形_3_SpCnt_63"/>
                  <wp:cNvGraphicFramePr/>
                  <a:graphic xmlns:a="http://schemas.openxmlformats.org/drawingml/2006/main">
                    <a:graphicData uri="http://schemas.openxmlformats.org/drawingml/2006/picture">
                      <pic:pic xmlns:pic="http://schemas.openxmlformats.org/drawingml/2006/picture">
                        <pic:nvPicPr>
                          <pic:cNvPr id="2059" name="矩形_3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494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1" name="矩形_16_SpCnt_62"/>
                  <wp:cNvGraphicFramePr/>
                  <a:graphic xmlns:a="http://schemas.openxmlformats.org/drawingml/2006/main">
                    <a:graphicData uri="http://schemas.openxmlformats.org/drawingml/2006/picture">
                      <pic:pic xmlns:pic="http://schemas.openxmlformats.org/drawingml/2006/picture">
                        <pic:nvPicPr>
                          <pic:cNvPr id="2081" name="矩形_16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04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7" name="矩形_9_SpCnt_68"/>
                  <wp:cNvGraphicFramePr/>
                  <a:graphic xmlns:a="http://schemas.openxmlformats.org/drawingml/2006/main">
                    <a:graphicData uri="http://schemas.openxmlformats.org/drawingml/2006/picture">
                      <pic:pic xmlns:pic="http://schemas.openxmlformats.org/drawingml/2006/picture">
                        <pic:nvPicPr>
                          <pic:cNvPr id="2077" name="矩形_9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145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2" name="矩形_3_SpCnt_64"/>
                  <wp:cNvGraphicFramePr/>
                  <a:graphic xmlns:a="http://schemas.openxmlformats.org/drawingml/2006/main">
                    <a:graphicData uri="http://schemas.openxmlformats.org/drawingml/2006/picture">
                      <pic:pic xmlns:pic="http://schemas.openxmlformats.org/drawingml/2006/picture">
                        <pic:nvPicPr>
                          <pic:cNvPr id="2082" name="矩形_3_SpCnt_6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24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5" name="矩形_6_SpCnt_62"/>
                  <wp:cNvGraphicFramePr/>
                  <a:graphic xmlns:a="http://schemas.openxmlformats.org/drawingml/2006/main">
                    <a:graphicData uri="http://schemas.openxmlformats.org/drawingml/2006/picture">
                      <pic:pic xmlns:pic="http://schemas.openxmlformats.org/drawingml/2006/picture">
                        <pic:nvPicPr>
                          <pic:cNvPr id="2065" name="矩形_6_SpCnt_6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35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3" name="矩形_3_SpCnt_65"/>
                  <wp:cNvGraphicFramePr/>
                  <a:graphic xmlns:a="http://schemas.openxmlformats.org/drawingml/2006/main">
                    <a:graphicData uri="http://schemas.openxmlformats.org/drawingml/2006/picture">
                      <pic:pic xmlns:pic="http://schemas.openxmlformats.org/drawingml/2006/picture">
                        <pic:nvPicPr>
                          <pic:cNvPr id="2073" name="矩形_3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45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1" name="矩形_17_SpCnt_67"/>
                  <wp:cNvGraphicFramePr/>
                  <a:graphic xmlns:a="http://schemas.openxmlformats.org/drawingml/2006/main">
                    <a:graphicData uri="http://schemas.openxmlformats.org/drawingml/2006/picture">
                      <pic:pic xmlns:pic="http://schemas.openxmlformats.org/drawingml/2006/picture">
                        <pic:nvPicPr>
                          <pic:cNvPr id="2061" name="矩形_17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55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0" name="矩形_9_SpCnt_69"/>
                  <wp:cNvGraphicFramePr/>
                  <a:graphic xmlns:a="http://schemas.openxmlformats.org/drawingml/2006/main">
                    <a:graphicData uri="http://schemas.openxmlformats.org/drawingml/2006/picture">
                      <pic:pic xmlns:pic="http://schemas.openxmlformats.org/drawingml/2006/picture">
                        <pic:nvPicPr>
                          <pic:cNvPr id="2060" name="矩形_9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65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74" name="矩形_16_SpCnt_63"/>
                  <wp:cNvGraphicFramePr/>
                  <a:graphic xmlns:a="http://schemas.openxmlformats.org/drawingml/2006/main">
                    <a:graphicData uri="http://schemas.openxmlformats.org/drawingml/2006/picture">
                      <pic:pic xmlns:pic="http://schemas.openxmlformats.org/drawingml/2006/picture">
                        <pic:nvPicPr>
                          <pic:cNvPr id="2074" name="矩形_16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76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2" name="矩形_6_SpCnt_63"/>
                  <wp:cNvGraphicFramePr/>
                  <a:graphic xmlns:a="http://schemas.openxmlformats.org/drawingml/2006/main">
                    <a:graphicData uri="http://schemas.openxmlformats.org/drawingml/2006/picture">
                      <pic:pic xmlns:pic="http://schemas.openxmlformats.org/drawingml/2006/picture">
                        <pic:nvPicPr>
                          <pic:cNvPr id="2062" name="矩形_6_SpCnt_6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86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4" name="矩形_16_SpCnt_64"/>
                  <wp:cNvGraphicFramePr/>
                  <a:graphic xmlns:a="http://schemas.openxmlformats.org/drawingml/2006/main">
                    <a:graphicData uri="http://schemas.openxmlformats.org/drawingml/2006/picture">
                      <pic:pic xmlns:pic="http://schemas.openxmlformats.org/drawingml/2006/picture">
                        <pic:nvPicPr>
                          <pic:cNvPr id="2064" name="矩形_16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596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55" name="矩形_17_SpCnt_68"/>
                  <wp:cNvGraphicFramePr/>
                  <a:graphic xmlns:a="http://schemas.openxmlformats.org/drawingml/2006/main">
                    <a:graphicData uri="http://schemas.openxmlformats.org/drawingml/2006/picture">
                      <pic:pic xmlns:pic="http://schemas.openxmlformats.org/drawingml/2006/picture">
                        <pic:nvPicPr>
                          <pic:cNvPr id="2055" name="矩形_17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06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6" name="矩形_16_SpCnt_65"/>
                  <wp:cNvGraphicFramePr/>
                  <a:graphic xmlns:a="http://schemas.openxmlformats.org/drawingml/2006/main">
                    <a:graphicData uri="http://schemas.openxmlformats.org/drawingml/2006/picture">
                      <pic:pic xmlns:pic="http://schemas.openxmlformats.org/drawingml/2006/picture">
                        <pic:nvPicPr>
                          <pic:cNvPr id="2066" name="矩形_16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16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67" name="矩形_9_SpCnt_70"/>
                  <wp:cNvGraphicFramePr/>
                  <a:graphic xmlns:a="http://schemas.openxmlformats.org/drawingml/2006/main">
                    <a:graphicData uri="http://schemas.openxmlformats.org/drawingml/2006/picture">
                      <pic:pic xmlns:pic="http://schemas.openxmlformats.org/drawingml/2006/picture">
                        <pic:nvPicPr>
                          <pic:cNvPr id="2067" name="矩形_9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27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1" name="矩形_6_SpCnt_64"/>
                  <wp:cNvGraphicFramePr/>
                  <a:graphic xmlns:a="http://schemas.openxmlformats.org/drawingml/2006/main">
                    <a:graphicData uri="http://schemas.openxmlformats.org/drawingml/2006/picture">
                      <pic:pic xmlns:pic="http://schemas.openxmlformats.org/drawingml/2006/picture">
                        <pic:nvPicPr>
                          <pic:cNvPr id="2101" name="矩形_6_SpCnt_6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37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0" name="矩形_3_SpCnt_66"/>
                  <wp:cNvGraphicFramePr/>
                  <a:graphic xmlns:a="http://schemas.openxmlformats.org/drawingml/2006/main">
                    <a:graphicData uri="http://schemas.openxmlformats.org/drawingml/2006/picture">
                      <pic:pic xmlns:pic="http://schemas.openxmlformats.org/drawingml/2006/picture">
                        <pic:nvPicPr>
                          <pic:cNvPr id="2090" name="矩形_3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47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0" name="矩形_16_SpCnt_66"/>
                  <wp:cNvGraphicFramePr/>
                  <a:graphic xmlns:a="http://schemas.openxmlformats.org/drawingml/2006/main">
                    <a:graphicData uri="http://schemas.openxmlformats.org/drawingml/2006/picture">
                      <pic:pic xmlns:pic="http://schemas.openxmlformats.org/drawingml/2006/picture">
                        <pic:nvPicPr>
                          <pic:cNvPr id="2110" name="矩形_16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57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9" name="矩形_6_SpCnt_65"/>
                  <wp:cNvGraphicFramePr/>
                  <a:graphic xmlns:a="http://schemas.openxmlformats.org/drawingml/2006/main">
                    <a:graphicData uri="http://schemas.openxmlformats.org/drawingml/2006/picture">
                      <pic:pic xmlns:pic="http://schemas.openxmlformats.org/drawingml/2006/picture">
                        <pic:nvPicPr>
                          <pic:cNvPr id="2099" name="矩形_6_SpCnt_6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68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8" name="矩形_17_SpCnt_69"/>
                  <wp:cNvGraphicFramePr/>
                  <a:graphic xmlns:a="http://schemas.openxmlformats.org/drawingml/2006/main">
                    <a:graphicData uri="http://schemas.openxmlformats.org/drawingml/2006/picture">
                      <pic:pic xmlns:pic="http://schemas.openxmlformats.org/drawingml/2006/picture">
                        <pic:nvPicPr>
                          <pic:cNvPr id="2108" name="矩形_17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78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1" name="矩形_4_SpCnt_68"/>
                  <wp:cNvGraphicFramePr/>
                  <a:graphic xmlns:a="http://schemas.openxmlformats.org/drawingml/2006/main">
                    <a:graphicData uri="http://schemas.openxmlformats.org/drawingml/2006/picture">
                      <pic:pic xmlns:pic="http://schemas.openxmlformats.org/drawingml/2006/picture">
                        <pic:nvPicPr>
                          <pic:cNvPr id="2091" name="矩形_4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88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4" name="矩形_3_SpCnt_67"/>
                  <wp:cNvGraphicFramePr/>
                  <a:graphic xmlns:a="http://schemas.openxmlformats.org/drawingml/2006/main">
                    <a:graphicData uri="http://schemas.openxmlformats.org/drawingml/2006/picture">
                      <pic:pic xmlns:pic="http://schemas.openxmlformats.org/drawingml/2006/picture">
                        <pic:nvPicPr>
                          <pic:cNvPr id="2094" name="矩形_3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698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2" name="矩形_3_SpCnt_68"/>
                  <wp:cNvGraphicFramePr/>
                  <a:graphic xmlns:a="http://schemas.openxmlformats.org/drawingml/2006/main">
                    <a:graphicData uri="http://schemas.openxmlformats.org/drawingml/2006/picture">
                      <pic:pic xmlns:pic="http://schemas.openxmlformats.org/drawingml/2006/picture">
                        <pic:nvPicPr>
                          <pic:cNvPr id="2092" name="矩形_3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09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5" name="矩形_17_SpCnt_70"/>
                  <wp:cNvGraphicFramePr/>
                  <a:graphic xmlns:a="http://schemas.openxmlformats.org/drawingml/2006/main">
                    <a:graphicData uri="http://schemas.openxmlformats.org/drawingml/2006/picture">
                      <pic:pic xmlns:pic="http://schemas.openxmlformats.org/drawingml/2006/picture">
                        <pic:nvPicPr>
                          <pic:cNvPr id="2095" name="矩形_17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19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5" name="矩形_16_SpCnt_67"/>
                  <wp:cNvGraphicFramePr/>
                  <a:graphic xmlns:a="http://schemas.openxmlformats.org/drawingml/2006/main">
                    <a:graphicData uri="http://schemas.openxmlformats.org/drawingml/2006/picture">
                      <pic:pic xmlns:pic="http://schemas.openxmlformats.org/drawingml/2006/picture">
                        <pic:nvPicPr>
                          <pic:cNvPr id="2105" name="矩形_16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296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00" name="矩形_17_SpCnt_71"/>
                  <wp:cNvGraphicFramePr/>
                  <a:graphic xmlns:a="http://schemas.openxmlformats.org/drawingml/2006/main">
                    <a:graphicData uri="http://schemas.openxmlformats.org/drawingml/2006/picture">
                      <pic:pic xmlns:pic="http://schemas.openxmlformats.org/drawingml/2006/picture">
                        <pic:nvPicPr>
                          <pic:cNvPr id="2100" name="矩形_17_SpCnt_71"/>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39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09" name="矩形_4_SpCnt_69"/>
                  <wp:cNvGraphicFramePr/>
                  <a:graphic xmlns:a="http://schemas.openxmlformats.org/drawingml/2006/main">
                    <a:graphicData uri="http://schemas.openxmlformats.org/drawingml/2006/picture">
                      <pic:pic xmlns:pic="http://schemas.openxmlformats.org/drawingml/2006/picture">
                        <pic:nvPicPr>
                          <pic:cNvPr id="2109" name="矩形_4_SpCnt_69"/>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500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3" name="矩形_6_SpCnt_66"/>
                  <wp:cNvGraphicFramePr/>
                  <a:graphic xmlns:a="http://schemas.openxmlformats.org/drawingml/2006/main">
                    <a:graphicData uri="http://schemas.openxmlformats.org/drawingml/2006/picture">
                      <pic:pic xmlns:pic="http://schemas.openxmlformats.org/drawingml/2006/picture">
                        <pic:nvPicPr>
                          <pic:cNvPr id="2093" name="矩形_6_SpCnt_6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60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2" name="矩形_4_SpCnt_70"/>
                  <wp:cNvGraphicFramePr/>
                  <a:graphic xmlns:a="http://schemas.openxmlformats.org/drawingml/2006/main">
                    <a:graphicData uri="http://schemas.openxmlformats.org/drawingml/2006/picture">
                      <pic:pic xmlns:pic="http://schemas.openxmlformats.org/drawingml/2006/picture">
                        <pic:nvPicPr>
                          <pic:cNvPr id="2112" name="矩形_4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70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1" name="矩形_3_SpCnt_69"/>
                  <wp:cNvGraphicFramePr/>
                  <a:graphic xmlns:a="http://schemas.openxmlformats.org/drawingml/2006/main">
                    <a:graphicData uri="http://schemas.openxmlformats.org/drawingml/2006/picture">
                      <pic:pic xmlns:pic="http://schemas.openxmlformats.org/drawingml/2006/picture">
                        <pic:nvPicPr>
                          <pic:cNvPr id="2111" name="矩形_3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80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5" name="矩形_16_SpCnt_68"/>
                  <wp:cNvGraphicFramePr/>
                  <a:graphic xmlns:a="http://schemas.openxmlformats.org/drawingml/2006/main">
                    <a:graphicData uri="http://schemas.openxmlformats.org/drawingml/2006/picture">
                      <pic:pic xmlns:pic="http://schemas.openxmlformats.org/drawingml/2006/picture">
                        <pic:nvPicPr>
                          <pic:cNvPr id="2115" name="矩形_16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7910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3" name="矩形_9_SpCnt_71"/>
                  <wp:cNvGraphicFramePr/>
                  <a:graphic xmlns:a="http://schemas.openxmlformats.org/drawingml/2006/main">
                    <a:graphicData uri="http://schemas.openxmlformats.org/drawingml/2006/picture">
                      <pic:pic xmlns:pic="http://schemas.openxmlformats.org/drawingml/2006/picture">
                        <pic:nvPicPr>
                          <pic:cNvPr id="2103" name="矩形_9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01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6" name="矩形_3_SpCnt_70"/>
                  <wp:cNvGraphicFramePr/>
                  <a:graphic xmlns:a="http://schemas.openxmlformats.org/drawingml/2006/main">
                    <a:graphicData uri="http://schemas.openxmlformats.org/drawingml/2006/picture">
                      <pic:pic xmlns:pic="http://schemas.openxmlformats.org/drawingml/2006/picture">
                        <pic:nvPicPr>
                          <pic:cNvPr id="2096" name="矩形_3_SpCnt_70"/>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115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7" name="矩形_6_SpCnt_67"/>
                  <wp:cNvGraphicFramePr/>
                  <a:graphic xmlns:a="http://schemas.openxmlformats.org/drawingml/2006/main">
                    <a:graphicData uri="http://schemas.openxmlformats.org/drawingml/2006/picture">
                      <pic:pic xmlns:pic="http://schemas.openxmlformats.org/drawingml/2006/picture">
                        <pic:nvPicPr>
                          <pic:cNvPr id="2097" name="矩形_6_SpCnt_6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217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6" name="矩形_9_SpCnt_72"/>
                  <wp:cNvGraphicFramePr/>
                  <a:graphic xmlns:a="http://schemas.openxmlformats.org/drawingml/2006/main">
                    <a:graphicData uri="http://schemas.openxmlformats.org/drawingml/2006/picture">
                      <pic:pic xmlns:pic="http://schemas.openxmlformats.org/drawingml/2006/picture">
                        <pic:nvPicPr>
                          <pic:cNvPr id="2086" name="矩形_9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320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7" name="矩形_4_SpCnt_71"/>
                  <wp:cNvGraphicFramePr/>
                  <a:graphic xmlns:a="http://schemas.openxmlformats.org/drawingml/2006/main">
                    <a:graphicData uri="http://schemas.openxmlformats.org/drawingml/2006/picture">
                      <pic:pic xmlns:pic="http://schemas.openxmlformats.org/drawingml/2006/picture">
                        <pic:nvPicPr>
                          <pic:cNvPr id="2107" name="矩形_4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42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88" name="矩形_6_SpCnt_68"/>
                  <wp:cNvGraphicFramePr/>
                  <a:graphic xmlns:a="http://schemas.openxmlformats.org/drawingml/2006/main">
                    <a:graphicData uri="http://schemas.openxmlformats.org/drawingml/2006/picture">
                      <pic:pic xmlns:pic="http://schemas.openxmlformats.org/drawingml/2006/picture">
                        <pic:nvPicPr>
                          <pic:cNvPr id="2088" name="矩形_6_SpCnt_68"/>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52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098" name="矩形_6_SpCnt_69"/>
                  <wp:cNvGraphicFramePr/>
                  <a:graphic xmlns:a="http://schemas.openxmlformats.org/drawingml/2006/main">
                    <a:graphicData uri="http://schemas.openxmlformats.org/drawingml/2006/picture">
                      <pic:pic xmlns:pic="http://schemas.openxmlformats.org/drawingml/2006/picture">
                        <pic:nvPicPr>
                          <pic:cNvPr id="2098" name="矩形_6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62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2" name="矩形_4_SpCnt_72"/>
                  <wp:cNvGraphicFramePr/>
                  <a:graphic xmlns:a="http://schemas.openxmlformats.org/drawingml/2006/main">
                    <a:graphicData uri="http://schemas.openxmlformats.org/drawingml/2006/picture">
                      <pic:pic xmlns:pic="http://schemas.openxmlformats.org/drawingml/2006/picture">
                        <pic:nvPicPr>
                          <pic:cNvPr id="2102" name="矩形_4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729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04" name="矩形_3_SpCnt_71"/>
                  <wp:cNvGraphicFramePr/>
                  <a:graphic xmlns:a="http://schemas.openxmlformats.org/drawingml/2006/main">
                    <a:graphicData uri="http://schemas.openxmlformats.org/drawingml/2006/picture">
                      <pic:pic xmlns:pic="http://schemas.openxmlformats.org/drawingml/2006/picture">
                        <pic:nvPicPr>
                          <pic:cNvPr id="2104" name="矩形_3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832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06" name="矩形_6_SpCnt_70"/>
                  <wp:cNvGraphicFramePr/>
                  <a:graphic xmlns:a="http://schemas.openxmlformats.org/drawingml/2006/main">
                    <a:graphicData uri="http://schemas.openxmlformats.org/drawingml/2006/picture">
                      <pic:pic xmlns:pic="http://schemas.openxmlformats.org/drawingml/2006/picture">
                        <pic:nvPicPr>
                          <pic:cNvPr id="2106" name="矩形_6_SpCnt_7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893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3" name="矩形_16_SpCnt_69"/>
                  <wp:cNvGraphicFramePr/>
                  <a:graphic xmlns:a="http://schemas.openxmlformats.org/drawingml/2006/main">
                    <a:graphicData uri="http://schemas.openxmlformats.org/drawingml/2006/picture">
                      <pic:pic xmlns:pic="http://schemas.openxmlformats.org/drawingml/2006/picture">
                        <pic:nvPicPr>
                          <pic:cNvPr id="2113" name="矩形_16_SpCnt_69"/>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03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4" name="矩形_6_SpCnt_71"/>
                  <wp:cNvGraphicFramePr/>
                  <a:graphic xmlns:a="http://schemas.openxmlformats.org/drawingml/2006/main">
                    <a:graphicData uri="http://schemas.openxmlformats.org/drawingml/2006/picture">
                      <pic:pic xmlns:pic="http://schemas.openxmlformats.org/drawingml/2006/picture">
                        <pic:nvPicPr>
                          <pic:cNvPr id="2114" name="矩形_6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13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6" name="矩形_3_SpCnt_72"/>
                  <wp:cNvGraphicFramePr/>
                  <a:graphic xmlns:a="http://schemas.openxmlformats.org/drawingml/2006/main">
                    <a:graphicData uri="http://schemas.openxmlformats.org/drawingml/2006/picture">
                      <pic:pic xmlns:pic="http://schemas.openxmlformats.org/drawingml/2006/picture">
                        <pic:nvPicPr>
                          <pic:cNvPr id="2116" name="矩形_3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241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5" name="矩形_4_SpCnt_73"/>
                  <wp:cNvGraphicFramePr/>
                  <a:graphic xmlns:a="http://schemas.openxmlformats.org/drawingml/2006/main">
                    <a:graphicData uri="http://schemas.openxmlformats.org/drawingml/2006/picture">
                      <pic:pic xmlns:pic="http://schemas.openxmlformats.org/drawingml/2006/picture">
                        <pic:nvPicPr>
                          <pic:cNvPr id="2085" name="矩形_4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344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7" name="矩形_9_SpCnt_73"/>
                  <wp:cNvGraphicFramePr/>
                  <a:graphic xmlns:a="http://schemas.openxmlformats.org/drawingml/2006/main">
                    <a:graphicData uri="http://schemas.openxmlformats.org/drawingml/2006/picture">
                      <pic:pic xmlns:pic="http://schemas.openxmlformats.org/drawingml/2006/picture">
                        <pic:nvPicPr>
                          <pic:cNvPr id="2087" name="矩形_9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446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089" name="矩形_17_SpCnt_72"/>
                  <wp:cNvGraphicFramePr/>
                  <a:graphic xmlns:a="http://schemas.openxmlformats.org/drawingml/2006/main">
                    <a:graphicData uri="http://schemas.openxmlformats.org/drawingml/2006/picture">
                      <pic:pic xmlns:pic="http://schemas.openxmlformats.org/drawingml/2006/picture">
                        <pic:nvPicPr>
                          <pic:cNvPr id="2089" name="矩形_17_SpCnt_72"/>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548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8" name="矩形_16_SpCnt_70"/>
                  <wp:cNvGraphicFramePr/>
                  <a:graphic xmlns:a="http://schemas.openxmlformats.org/drawingml/2006/main">
                    <a:graphicData uri="http://schemas.openxmlformats.org/drawingml/2006/picture">
                      <pic:pic xmlns:pic="http://schemas.openxmlformats.org/drawingml/2006/picture">
                        <pic:nvPicPr>
                          <pic:cNvPr id="2138" name="矩形_16_SpCnt_70"/>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651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5" name="矩形_16_SpCnt_71"/>
                  <wp:cNvGraphicFramePr/>
                  <a:graphic xmlns:a="http://schemas.openxmlformats.org/drawingml/2006/main">
                    <a:graphicData uri="http://schemas.openxmlformats.org/drawingml/2006/picture">
                      <pic:pic xmlns:pic="http://schemas.openxmlformats.org/drawingml/2006/picture">
                        <pic:nvPicPr>
                          <pic:cNvPr id="2125" name="矩形_16_SpCnt_71"/>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753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7" name="矩形_9_SpCnt_74"/>
                  <wp:cNvGraphicFramePr/>
                  <a:graphic xmlns:a="http://schemas.openxmlformats.org/drawingml/2006/main">
                    <a:graphicData uri="http://schemas.openxmlformats.org/drawingml/2006/picture">
                      <pic:pic xmlns:pic="http://schemas.openxmlformats.org/drawingml/2006/picture">
                        <pic:nvPicPr>
                          <pic:cNvPr id="2117" name="矩形_9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856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9" name="矩形_6_SpCnt_72"/>
                  <wp:cNvGraphicFramePr/>
                  <a:graphic xmlns:a="http://schemas.openxmlformats.org/drawingml/2006/main">
                    <a:graphicData uri="http://schemas.openxmlformats.org/drawingml/2006/picture">
                      <pic:pic xmlns:pic="http://schemas.openxmlformats.org/drawingml/2006/picture">
                        <pic:nvPicPr>
                          <pic:cNvPr id="2129" name="矩形_6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09958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26" name="矩形_4_SpCnt_74"/>
                  <wp:cNvGraphicFramePr/>
                  <a:graphic xmlns:a="http://schemas.openxmlformats.org/drawingml/2006/main">
                    <a:graphicData uri="http://schemas.openxmlformats.org/drawingml/2006/picture">
                      <pic:pic xmlns:pic="http://schemas.openxmlformats.org/drawingml/2006/picture">
                        <pic:nvPicPr>
                          <pic:cNvPr id="2126" name="矩形_4_SpCnt_7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0608"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21" name="矩形_9_SpCnt_75"/>
                  <wp:cNvGraphicFramePr/>
                  <a:graphic xmlns:a="http://schemas.openxmlformats.org/drawingml/2006/main">
                    <a:graphicData uri="http://schemas.openxmlformats.org/drawingml/2006/picture">
                      <pic:pic xmlns:pic="http://schemas.openxmlformats.org/drawingml/2006/picture">
                        <pic:nvPicPr>
                          <pic:cNvPr id="2121" name="矩形_9_SpCnt_7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163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46" name="矩形_3_SpCnt_73"/>
                  <wp:cNvGraphicFramePr/>
                  <a:graphic xmlns:a="http://schemas.openxmlformats.org/drawingml/2006/main">
                    <a:graphicData uri="http://schemas.openxmlformats.org/drawingml/2006/picture">
                      <pic:pic xmlns:pic="http://schemas.openxmlformats.org/drawingml/2006/picture">
                        <pic:nvPicPr>
                          <pic:cNvPr id="2146" name="矩形_3_SpCnt_7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265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3" name="矩形_16_SpCnt_72"/>
                  <wp:cNvGraphicFramePr/>
                  <a:graphic xmlns:a="http://schemas.openxmlformats.org/drawingml/2006/main">
                    <a:graphicData uri="http://schemas.openxmlformats.org/drawingml/2006/picture">
                      <pic:pic xmlns:pic="http://schemas.openxmlformats.org/drawingml/2006/picture">
                        <pic:nvPicPr>
                          <pic:cNvPr id="2123" name="矩形_16_SpCnt_72"/>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368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0" name="矩形_17_SpCnt_73"/>
                  <wp:cNvGraphicFramePr/>
                  <a:graphic xmlns:a="http://schemas.openxmlformats.org/drawingml/2006/main">
                    <a:graphicData uri="http://schemas.openxmlformats.org/drawingml/2006/picture">
                      <pic:pic xmlns:pic="http://schemas.openxmlformats.org/drawingml/2006/picture">
                        <pic:nvPicPr>
                          <pic:cNvPr id="2120" name="矩形_17_SpCnt_73"/>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4704"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41" name="矩形_6_SpCnt_73"/>
                  <wp:cNvGraphicFramePr/>
                  <a:graphic xmlns:a="http://schemas.openxmlformats.org/drawingml/2006/main">
                    <a:graphicData uri="http://schemas.openxmlformats.org/drawingml/2006/picture">
                      <pic:pic xmlns:pic="http://schemas.openxmlformats.org/drawingml/2006/picture">
                        <pic:nvPicPr>
                          <pic:cNvPr id="2141" name="矩形_6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572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7" name="矩形_3_SpCnt_74"/>
                  <wp:cNvGraphicFramePr/>
                  <a:graphic xmlns:a="http://schemas.openxmlformats.org/drawingml/2006/main">
                    <a:graphicData uri="http://schemas.openxmlformats.org/drawingml/2006/picture">
                      <pic:pic xmlns:pic="http://schemas.openxmlformats.org/drawingml/2006/picture">
                        <pic:nvPicPr>
                          <pic:cNvPr id="2127" name="矩形_3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6752"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24" name="矩形_9_SpCnt_76"/>
                  <wp:cNvGraphicFramePr/>
                  <a:graphic xmlns:a="http://schemas.openxmlformats.org/drawingml/2006/main">
                    <a:graphicData uri="http://schemas.openxmlformats.org/drawingml/2006/picture">
                      <pic:pic xmlns:pic="http://schemas.openxmlformats.org/drawingml/2006/picture">
                        <pic:nvPicPr>
                          <pic:cNvPr id="2124" name="矩形_9_SpCnt_76"/>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777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4" name="矩形_16_SpCnt_73"/>
                  <wp:cNvGraphicFramePr/>
                  <a:graphic xmlns:a="http://schemas.openxmlformats.org/drawingml/2006/main">
                    <a:graphicData uri="http://schemas.openxmlformats.org/drawingml/2006/picture">
                      <pic:pic xmlns:pic="http://schemas.openxmlformats.org/drawingml/2006/picture">
                        <pic:nvPicPr>
                          <pic:cNvPr id="2134" name="矩形_16_SpCnt_73"/>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8800"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2" name="矩形_17_SpCnt_74"/>
                  <wp:cNvGraphicFramePr/>
                  <a:graphic xmlns:a="http://schemas.openxmlformats.org/drawingml/2006/main">
                    <a:graphicData uri="http://schemas.openxmlformats.org/drawingml/2006/picture">
                      <pic:pic xmlns:pic="http://schemas.openxmlformats.org/drawingml/2006/picture">
                        <pic:nvPicPr>
                          <pic:cNvPr id="2132" name="矩形_17_SpCnt_74"/>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0982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2" name="矩形_6_SpCnt_74"/>
                  <wp:cNvGraphicFramePr/>
                  <a:graphic xmlns:a="http://schemas.openxmlformats.org/drawingml/2006/main">
                    <a:graphicData uri="http://schemas.openxmlformats.org/drawingml/2006/picture">
                      <pic:pic xmlns:pic="http://schemas.openxmlformats.org/drawingml/2006/picture">
                        <pic:nvPicPr>
                          <pic:cNvPr id="2122" name="矩形_6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084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28" name="矩形_4_SpCnt_75"/>
                  <wp:cNvGraphicFramePr/>
                  <a:graphic xmlns:a="http://schemas.openxmlformats.org/drawingml/2006/main">
                    <a:graphicData uri="http://schemas.openxmlformats.org/drawingml/2006/picture">
                      <pic:pic xmlns:pic="http://schemas.openxmlformats.org/drawingml/2006/picture">
                        <pic:nvPicPr>
                          <pic:cNvPr id="2128" name="矩形_4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187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0" name="矩形_3_SpCnt_75"/>
                  <wp:cNvGraphicFramePr/>
                  <a:graphic xmlns:a="http://schemas.openxmlformats.org/drawingml/2006/main">
                    <a:graphicData uri="http://schemas.openxmlformats.org/drawingml/2006/picture">
                      <pic:pic xmlns:pic="http://schemas.openxmlformats.org/drawingml/2006/picture">
                        <pic:nvPicPr>
                          <pic:cNvPr id="2130" name="矩形_3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2896" behindDoc="0" locked="0" layoutInCell="1" allowOverlap="1">
                  <wp:simplePos x="0" y="0"/>
                  <wp:positionH relativeFrom="column">
                    <wp:posOffset>0</wp:posOffset>
                  </wp:positionH>
                  <wp:positionV relativeFrom="paragraph">
                    <wp:posOffset>180975</wp:posOffset>
                  </wp:positionV>
                  <wp:extent cx="800735" cy="561975"/>
                  <wp:effectExtent l="0" t="0" r="0" b="0"/>
                  <wp:wrapNone/>
                  <wp:docPr id="2135" name="矩形_17_SpCnt_75"/>
                  <wp:cNvGraphicFramePr/>
                  <a:graphic xmlns:a="http://schemas.openxmlformats.org/drawingml/2006/main">
                    <a:graphicData uri="http://schemas.openxmlformats.org/drawingml/2006/picture">
                      <pic:pic xmlns:pic="http://schemas.openxmlformats.org/drawingml/2006/picture">
                        <pic:nvPicPr>
                          <pic:cNvPr id="2135" name="矩形_17_SpCnt_75"/>
                          <pic:cNvPicPr/>
                        </pic:nvPicPr>
                        <pic:blipFill>
                          <a:blip r:embed="rId8"/>
                          <a:stretch>
                            <a:fillRect/>
                          </a:stretch>
                        </pic:blipFill>
                        <pic:spPr>
                          <a:xfrm>
                            <a:off x="0" y="0"/>
                            <a:ext cx="800735" cy="56197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392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1" name="矩形_3_SpCnt_76"/>
                  <wp:cNvGraphicFramePr/>
                  <a:graphic xmlns:a="http://schemas.openxmlformats.org/drawingml/2006/main">
                    <a:graphicData uri="http://schemas.openxmlformats.org/drawingml/2006/picture">
                      <pic:pic xmlns:pic="http://schemas.openxmlformats.org/drawingml/2006/picture">
                        <pic:nvPicPr>
                          <pic:cNvPr id="2131" name="矩形_3_SpCnt_7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494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3" name="矩形_17_SpCnt_76"/>
                  <wp:cNvGraphicFramePr/>
                  <a:graphic xmlns:a="http://schemas.openxmlformats.org/drawingml/2006/main">
                    <a:graphicData uri="http://schemas.openxmlformats.org/drawingml/2006/picture">
                      <pic:pic xmlns:pic="http://schemas.openxmlformats.org/drawingml/2006/picture">
                        <pic:nvPicPr>
                          <pic:cNvPr id="2133" name="矩形_17_SpCnt_7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596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6" name="矩形_16_SpCnt_74"/>
                  <wp:cNvGraphicFramePr/>
                  <a:graphic xmlns:a="http://schemas.openxmlformats.org/drawingml/2006/main">
                    <a:graphicData uri="http://schemas.openxmlformats.org/drawingml/2006/picture">
                      <pic:pic xmlns:pic="http://schemas.openxmlformats.org/drawingml/2006/picture">
                        <pic:nvPicPr>
                          <pic:cNvPr id="2136" name="矩形_16_SpCnt_74"/>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6992"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7" name="矩形_6_SpCnt_75"/>
                  <wp:cNvGraphicFramePr/>
                  <a:graphic xmlns:a="http://schemas.openxmlformats.org/drawingml/2006/main">
                    <a:graphicData uri="http://schemas.openxmlformats.org/drawingml/2006/picture">
                      <pic:pic xmlns:pic="http://schemas.openxmlformats.org/drawingml/2006/picture">
                        <pic:nvPicPr>
                          <pic:cNvPr id="2137" name="矩形_6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8016"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18" name="矩形_9_SpCnt_77"/>
                  <wp:cNvGraphicFramePr/>
                  <a:graphic xmlns:a="http://schemas.openxmlformats.org/drawingml/2006/main">
                    <a:graphicData uri="http://schemas.openxmlformats.org/drawingml/2006/picture">
                      <pic:pic xmlns:pic="http://schemas.openxmlformats.org/drawingml/2006/picture">
                        <pic:nvPicPr>
                          <pic:cNvPr id="2118" name="矩形_9_SpCnt_7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19040"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39" name="矩形_6_SpCnt_76"/>
                  <wp:cNvGraphicFramePr/>
                  <a:graphic xmlns:a="http://schemas.openxmlformats.org/drawingml/2006/main">
                    <a:graphicData uri="http://schemas.openxmlformats.org/drawingml/2006/picture">
                      <pic:pic xmlns:pic="http://schemas.openxmlformats.org/drawingml/2006/picture">
                        <pic:nvPicPr>
                          <pic:cNvPr id="2139" name="矩形_6_SpCnt_76"/>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0064"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40" name="矩形_17_SpCnt_77"/>
                  <wp:cNvGraphicFramePr/>
                  <a:graphic xmlns:a="http://schemas.openxmlformats.org/drawingml/2006/main">
                    <a:graphicData uri="http://schemas.openxmlformats.org/drawingml/2006/picture">
                      <pic:pic xmlns:pic="http://schemas.openxmlformats.org/drawingml/2006/picture">
                        <pic:nvPicPr>
                          <pic:cNvPr id="2140" name="矩形_17_SpCnt_77"/>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1088" behindDoc="0" locked="0" layoutInCell="1" allowOverlap="1">
                  <wp:simplePos x="0" y="0"/>
                  <wp:positionH relativeFrom="column">
                    <wp:posOffset>0</wp:posOffset>
                  </wp:positionH>
                  <wp:positionV relativeFrom="paragraph">
                    <wp:posOffset>180975</wp:posOffset>
                  </wp:positionV>
                  <wp:extent cx="800735" cy="517525"/>
                  <wp:effectExtent l="0" t="0" r="0" b="0"/>
                  <wp:wrapNone/>
                  <wp:docPr id="2145" name="矩形_16_SpCnt_75"/>
                  <wp:cNvGraphicFramePr/>
                  <a:graphic xmlns:a="http://schemas.openxmlformats.org/drawingml/2006/main">
                    <a:graphicData uri="http://schemas.openxmlformats.org/drawingml/2006/picture">
                      <pic:pic xmlns:pic="http://schemas.openxmlformats.org/drawingml/2006/picture">
                        <pic:nvPicPr>
                          <pic:cNvPr id="2145" name="矩形_16_SpCnt_75"/>
                          <pic:cNvPicPr/>
                        </pic:nvPicPr>
                        <pic:blipFill>
                          <a:blip r:embed="rId8"/>
                          <a:stretch>
                            <a:fillRect/>
                          </a:stretch>
                        </pic:blipFill>
                        <pic:spPr>
                          <a:xfrm>
                            <a:off x="0" y="0"/>
                            <a:ext cx="800735" cy="517525"/>
                          </a:xfrm>
                          <a:prstGeom prst="rect">
                            <a:avLst/>
                          </a:prstGeom>
                          <a:noFill/>
                          <a:ln>
                            <a:noFill/>
                          </a:ln>
                        </pic:spPr>
                      </pic:pic>
                    </a:graphicData>
                  </a:graphic>
                </wp:anchor>
              </w:draw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建设路内停车泊位5000个，单目视频桩5000个，智能停车平台1套，营运服务中心1座；建设地面停车泊位5000个，停车场门禁管理系统30套；建设立体停车泊位10000个，多层机械立体停车库10个，控制系统PLC 10套。配套装饰、监控，交通设施建设等。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0D6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38B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162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11A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8000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E0DA">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04EEB43">
        <w:tblPrEx>
          <w:tblCellMar>
            <w:top w:w="0" w:type="dxa"/>
            <w:left w:w="0" w:type="dxa"/>
            <w:bottom w:w="0" w:type="dxa"/>
            <w:right w:w="0" w:type="dxa"/>
          </w:tblCellMar>
        </w:tblPrEx>
        <w:trPr>
          <w:trHeight w:val="12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22B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5E3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云城区旧城区改造及立体智能停车场建设工程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C01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对城区增设公共停车位，雨污分流设施，市政道路及人行道升级改造，铺设沥青混凝土路面和环保透水砖等，同时立体智能停车场在有必要时可改造为方舱医院。</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23D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8EC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7A3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8B5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35000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D252">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EB9A5F1">
        <w:tblPrEx>
          <w:tblCellMar>
            <w:top w:w="0" w:type="dxa"/>
            <w:left w:w="0" w:type="dxa"/>
            <w:bottom w:w="0" w:type="dxa"/>
            <w:right w:w="0" w:type="dxa"/>
          </w:tblCellMar>
        </w:tblPrEx>
        <w:trPr>
          <w:trHeight w:val="9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B77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B5A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广东金属智造科技产业园配套智慧服务中心</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5A8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主要建设社区服务中心、商业综合中心、体育公园、绿色公园、幼儿园、小学、儿童乐园、游泳池等。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3DB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20F2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380000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487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108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380000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FDF1">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14E3190">
        <w:tblPrEx>
          <w:tblCellMar>
            <w:top w:w="0" w:type="dxa"/>
            <w:left w:w="0" w:type="dxa"/>
            <w:bottom w:w="0" w:type="dxa"/>
            <w:right w:w="0" w:type="dxa"/>
          </w:tblCellMar>
        </w:tblPrEx>
        <w:trPr>
          <w:trHeight w:val="72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733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27A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云浮市石文化创意产业园基础设施</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C96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新建广梧高速公路云浮东收费站连接高新区、健康产业园道路；2.基础设施建设。土地平整、区域路网建设；3.园区内旧村庄承载能力提升。道路扩宽、改造；4.道路景观优化。道路绿化、沿线围墙、村口、建筑外立面提升改造、城市名片长廊；5.市政综合设施建设。南山河、泰安河景观改造，污水处理设施、垃圾收集压缩转运设施、海绵城市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798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8F8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6B9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84F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05FF">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99D42E8">
        <w:tblPrEx>
          <w:tblCellMar>
            <w:top w:w="0" w:type="dxa"/>
            <w:left w:w="0" w:type="dxa"/>
            <w:bottom w:w="0" w:type="dxa"/>
            <w:right w:w="0" w:type="dxa"/>
          </w:tblCellMar>
        </w:tblPrEx>
        <w:trPr>
          <w:trHeight w:val="188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DBB5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B09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广东云浮工业园区基础设施配套工程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059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建设完善广东云浮工业园道路（石博展览中心至双上村路段）两旁绿化、排水、排污等各项基础设施；完善衍生健康园各项基础设施工程（包括道路建设、绿化、污水处理设施等）。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4C7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724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211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1636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575E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14364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C2B4">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160295A">
        <w:tblPrEx>
          <w:tblCellMar>
            <w:top w:w="0" w:type="dxa"/>
            <w:left w:w="0" w:type="dxa"/>
            <w:bottom w:w="0" w:type="dxa"/>
            <w:right w:w="0" w:type="dxa"/>
          </w:tblCellMar>
        </w:tblPrEx>
        <w:trPr>
          <w:trHeight w:val="196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3B9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BEB1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广东金属智造科技产业园基础设施工程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2B5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建设金属智造产业园区南大道工程长约10.7215公里，包括道路工程、电力工程、通信工程、供水工程、交通工程、排水工程、照明工程、绿化工程、燃气管道工程等。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C16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0FB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73000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DF2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CBE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53000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541C">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020B2C9">
        <w:tblPrEx>
          <w:tblCellMar>
            <w:top w:w="0" w:type="dxa"/>
            <w:left w:w="0" w:type="dxa"/>
            <w:bottom w:w="0" w:type="dxa"/>
            <w:right w:w="0" w:type="dxa"/>
          </w:tblCellMar>
        </w:tblPrEx>
        <w:trPr>
          <w:trHeight w:val="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9DC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A33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广东金属智造科技产业园基础设施工程（二期）</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970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云石大道2.43公里，配套供电设施、给水、雨水、污水、桥梁、监控系统等设施，采用城市快速路标准建设，设计速度为60公里/小时，道路路面宽为50米，路基宽为60米，双向8车道；建设佛云大道1.05公里，采用城市快速路标准建设，设计速度60公里/小时，路面宽30米，路基宽40米，双向6车道；建设佛云大道与 G324 国道相接的菱形立交桥。</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96F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B81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AED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AE0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359A">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A489624">
        <w:tblPrEx>
          <w:tblCellMar>
            <w:top w:w="0" w:type="dxa"/>
            <w:left w:w="0" w:type="dxa"/>
            <w:bottom w:w="0" w:type="dxa"/>
            <w:right w:w="0" w:type="dxa"/>
          </w:tblCellMar>
        </w:tblPrEx>
        <w:trPr>
          <w:trHeight w:val="14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0CA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E82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云城区金属制造科技产业园（腰古片区）自来水供水工程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52E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对腰古镇自来水厂厂区升级和扩建、对取水泵站及取水口升级改造、引水管网改造、供水管网升级和扩建，安装日供应量3000吨水处理设备，铺设供水管网22公里等。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7C26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BF5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102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270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A335">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72124C5">
        <w:tblPrEx>
          <w:tblCellMar>
            <w:top w:w="0" w:type="dxa"/>
            <w:left w:w="0" w:type="dxa"/>
            <w:bottom w:w="0" w:type="dxa"/>
            <w:right w:w="0" w:type="dxa"/>
          </w:tblCellMar>
        </w:tblPrEx>
        <w:trPr>
          <w:trHeight w:val="160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394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6F7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云浮市健康医药产业园（二期）基础设施建设工程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F30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1248亩。主要建设内容：1、土石方工程，利用场内开挖土石方回填，挖填一般土方约3445069立方米，挖填一般石方约382785立方米，表层外购黏土回填约21000立方米，配套建设相关排水清淤工程、拆除工程、场地排水工程和护坡工程；2、道路工程包括新建长205米、宽度27米的次干路；新建长4011米、宽度24米的次干路；新建长3900米、宽度12米支路（含特殊路基处理、路基防护、路面工程、绿化工程、交通及监控工程、路灯工程及管线综合（给水、雨水、污水、电力、通信、燃气及蒸汽管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394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392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EC7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78F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31000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E680">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63F4C7A">
        <w:tblPrEx>
          <w:tblCellMar>
            <w:top w:w="0" w:type="dxa"/>
            <w:left w:w="0" w:type="dxa"/>
            <w:bottom w:w="0" w:type="dxa"/>
            <w:right w:w="0" w:type="dxa"/>
          </w:tblCellMar>
        </w:tblPrEx>
        <w:trPr>
          <w:trHeight w:val="158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BC0C">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19E4">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云浮市健康医药产业园双上片区基础设施工程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E5E3">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含特殊路基处理、路基防护、路面工程、绿化工程、交通及监控工程、路灯工程及管线综合（给水、雨水、污水、电力、通信、燃气及蒸汽管道）。</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3D6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F66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BB2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723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A3D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11277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78919">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2875809">
        <w:tblPrEx>
          <w:tblCellMar>
            <w:top w:w="0" w:type="dxa"/>
            <w:left w:w="0" w:type="dxa"/>
            <w:bottom w:w="0" w:type="dxa"/>
            <w:right w:w="0"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1D9E">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二、重大产业集群领域</w:t>
            </w:r>
          </w:p>
        </w:tc>
      </w:tr>
      <w:tr w14:paraId="5BFD58FB">
        <w:trPr>
          <w:trHeight w:val="11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2BFE">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6A9F">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广东金晟兰冶金科技有限公司年产800万吨优特钢项目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304D">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建设年产800万吨短流程优特钢项目生产基地，建设炼钢、热轧、冷轧、原料加工等配套设备和设施。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833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C80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EF1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650000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558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6C5C">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74781AB">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7754">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8E1D">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广东南方东海钢铁有限公司精品钢项目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4436">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一期建设400万吨电弧炉炼钢，主要产品为热卷及棒材；二期400万吨深加工冷轧系统，主要产品汽车、家电、电工用钢等；三期320万吨热轧带钢。</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923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7D1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1800000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528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95B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12DAA">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3B90E62">
        <w:tblPrEx>
          <w:tblCellMar>
            <w:top w:w="0" w:type="dxa"/>
            <w:left w:w="0" w:type="dxa"/>
            <w:bottom w:w="0" w:type="dxa"/>
            <w:right w:w="0" w:type="dxa"/>
          </w:tblCellMar>
        </w:tblPrEx>
        <w:trPr>
          <w:trHeight w:val="1632"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EB55">
            <w:pPr>
              <w:widowControl/>
              <w:spacing w:line="42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B689">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中铁十二局集团建筑构件华南分公司项目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1650">
            <w:pPr>
              <w:widowControl/>
              <w:spacing w:line="42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建设建筑配套物资机械产业园，分为六大板块：建筑用铝合金模板；全钢附着式升降脚手架；装配式集装箱房屋；建筑辅材；钢结构；钢管扣件等材料租赁。</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C97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45F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B9D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B1D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140000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4C8C3">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42BF0E2">
        <w:trPr>
          <w:trHeight w:val="11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FC3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751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云浮·信基健康产业城</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606C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建设以南药加工为主的中药材精提取加工、生物医药生产制造、医疗器械、食品、保健食品生产及配套的产化基地。</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D17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E6E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360000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E35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1520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C0C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358480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2EDA">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512D8B1">
        <w:tblPrEx>
          <w:tblCellMar>
            <w:top w:w="0" w:type="dxa"/>
            <w:left w:w="0" w:type="dxa"/>
            <w:bottom w:w="0" w:type="dxa"/>
            <w:right w:w="0" w:type="dxa"/>
          </w:tblCellMar>
        </w:tblPrEx>
        <w:trPr>
          <w:trHeight w:val="13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DCD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9A0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中智药业集团云浮投资项目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B6F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分期建设，其中一期建筑面积5.5万平方米，主要建设新型中药饮片（煮散饮片）、普通饮片GMP生产车间、研发中心、质检楼、仓库、综合办公楼、宿舍等。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ECF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6C2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1DF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48B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108000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792B">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50DFACC">
        <w:tblPrEx>
          <w:tblCellMar>
            <w:top w:w="0" w:type="dxa"/>
            <w:left w:w="0" w:type="dxa"/>
            <w:bottom w:w="0" w:type="dxa"/>
            <w:right w:w="0" w:type="dxa"/>
          </w:tblCellMar>
        </w:tblPrEx>
        <w:trPr>
          <w:trHeight w:val="20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6A1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D3B1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广东东升林药业项目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0E1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筑面积60000平方米，占地53333平方米。计划一期建设1-3#厂房,动力站.污水处理站；二期建设4-7#厂房，综合楼及科研中心；三期建设8-11#厂房；主要生产线有：1、中药饮片生产线；2、中药颗粒饮片罐装生产线；3、中药材多维提取生产线；4、超临界破壁粉碎提取生产线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DA8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A9B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DB3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37B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42500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F302">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7CF7970">
        <w:trPr>
          <w:trHeight w:val="69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C5D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9F2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广东麦燕健康食品项目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12F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建设生产车间、研发质检中心、仓库等。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E9B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241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87D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D88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6935">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A8476ED">
        <w:tblPrEx>
          <w:tblCellMar>
            <w:top w:w="0" w:type="dxa"/>
            <w:left w:w="0" w:type="dxa"/>
            <w:bottom w:w="0" w:type="dxa"/>
            <w:right w:w="0" w:type="dxa"/>
          </w:tblCellMar>
        </w:tblPrEx>
        <w:trPr>
          <w:trHeight w:val="6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86D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2EC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广东春华健康食品项目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A966">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建设生产车间、研发中心、仓库等。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999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F7A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20B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BCFB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2094">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06A146D">
        <w:tblPrEx>
          <w:tblCellMar>
            <w:top w:w="0" w:type="dxa"/>
            <w:left w:w="0" w:type="dxa"/>
            <w:bottom w:w="0" w:type="dxa"/>
            <w:right w:w="0" w:type="dxa"/>
          </w:tblCellMar>
        </w:tblPrEx>
        <w:trPr>
          <w:trHeight w:val="11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DA4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A44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广东宏耀（国际）健康食品产业项目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6D7D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建筑面积5.8万平方米，建设厂房、综合大楼及配套设施建设。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1BF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320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241F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24D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43500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A871">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F46261D">
        <w:trPr>
          <w:trHeight w:val="10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1F9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FE7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云浮市农产品综合批发市场项目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549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建设管理与检测中心、库房区、餐饮区、鱼类屠宰区、禽类屠宰区、畜类屠宰区、交易区、配电房及其他基础设施配套工程等。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621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553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29B5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AD3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A371">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CCA0E42">
        <w:tblPrEx>
          <w:tblCellMar>
            <w:top w:w="0" w:type="dxa"/>
            <w:left w:w="0" w:type="dxa"/>
            <w:bottom w:w="0" w:type="dxa"/>
            <w:right w:w="0" w:type="dxa"/>
          </w:tblCellMar>
        </w:tblPrEx>
        <w:trPr>
          <w:trHeight w:val="85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BA5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039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云浮盈德气体有限公司20000+40000Nm3/h空分项目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10F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建设20000Nm3/h和40000Nm3/h制氧机组各一套，56000Nm3/h的空压站及配套附属设施。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B36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0DB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41000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D30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D8F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404A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BE2DC1F">
        <w:tblPrEx>
          <w:tblCellMar>
            <w:top w:w="0" w:type="dxa"/>
            <w:left w:w="0" w:type="dxa"/>
            <w:bottom w:w="0" w:type="dxa"/>
            <w:right w:w="0" w:type="dxa"/>
          </w:tblCellMar>
        </w:tblPrEx>
        <w:trPr>
          <w:trHeight w:val="8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1C6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431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云浮杭氧制氧项目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0AF6">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新建一套40000Nm3/h空分设备及后备系统的建设、运营和管理。</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413B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431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26200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002B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7B5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26200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851C">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E5327A1">
        <w:tblPrEx>
          <w:tblCellMar>
            <w:top w:w="0" w:type="dxa"/>
            <w:left w:w="0" w:type="dxa"/>
            <w:bottom w:w="0" w:type="dxa"/>
            <w:right w:w="0" w:type="dxa"/>
          </w:tblCellMar>
        </w:tblPrEx>
        <w:trPr>
          <w:trHeight w:val="19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A69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C799">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云浮市石文化创意产业园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09C9">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建设云石大道、河口大道、河杨路、西三路环境综合整治工程，对道路，桥梁，给排水，路灯，景观的改造提升，全长约10公里；2.建设石材会展中心、门户石文化广场、游客接待中心、石文化影视中心、商业服务中心及配套附属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DF9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23E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480000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30A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140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480000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567B">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09EAF84">
        <w:tblPrEx>
          <w:tblCellMar>
            <w:top w:w="0" w:type="dxa"/>
            <w:left w:w="0" w:type="dxa"/>
            <w:bottom w:w="0" w:type="dxa"/>
            <w:right w:w="0" w:type="dxa"/>
          </w:tblCellMar>
        </w:tblPrEx>
        <w:trPr>
          <w:trHeight w:val="2379"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9B6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C82B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云浮（云城）万洋众创城项目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DE3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建筑面积45.31万平方米，主要建设厂房、仓库、研发中心、办公楼、生产生活配套设施及其他配套设施等。商住项目总建筑面积9.97万平方米，主要建设商业街、办公楼、生产生活配套设施等。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245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20F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6E3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1D9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9A95">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46E424F">
        <w:tblPrEx>
          <w:tblCellMar>
            <w:top w:w="0" w:type="dxa"/>
            <w:left w:w="0" w:type="dxa"/>
            <w:bottom w:w="0" w:type="dxa"/>
            <w:right w:w="0"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2B6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三、现代服务业领域</w:t>
            </w:r>
          </w:p>
        </w:tc>
      </w:tr>
      <w:tr w14:paraId="383FBE7C">
        <w:tblPrEx>
          <w:tblCellMar>
            <w:top w:w="0" w:type="dxa"/>
            <w:left w:w="0" w:type="dxa"/>
            <w:bottom w:w="0" w:type="dxa"/>
            <w:right w:w="0" w:type="dxa"/>
          </w:tblCellMar>
        </w:tblPrEx>
        <w:trPr>
          <w:trHeight w:val="15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ACB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7180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云浮市大金山康养旅游区建设项目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011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核心区规划建设六个景区:综合服务中心、矿山公园、樱花谷、动力伞基地、露营基地、禅修谷、影视基地、高山生态度假村、原始森林公园等特色景点。</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FBE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D84B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8C9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925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FCC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36C4E14">
        <w:tblPrEx>
          <w:tblCellMar>
            <w:top w:w="0" w:type="dxa"/>
            <w:left w:w="0" w:type="dxa"/>
            <w:bottom w:w="0" w:type="dxa"/>
            <w:right w:w="0" w:type="dxa"/>
          </w:tblCellMar>
        </w:tblPrEx>
        <w:trPr>
          <w:trHeight w:val="51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3B1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D4C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云城区南药生态康养旅游项目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5ED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规划云城区南部片区前锋镇、南盛镇建设南药康体养生园区、万亩南药标准化种植研学基地、南药专题旅游自然教育示范区、山林竹海生态保育区、果香花海观光区、“朝阳库渠”农业文化遗产示范区。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0C1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2021-2035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2CB2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0A0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0B2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6CC0">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4C82CAD">
        <w:tblPrEx>
          <w:tblCellMar>
            <w:top w:w="0" w:type="dxa"/>
            <w:left w:w="0" w:type="dxa"/>
            <w:bottom w:w="0" w:type="dxa"/>
            <w:right w:w="0" w:type="dxa"/>
          </w:tblCellMar>
        </w:tblPrEx>
        <w:trPr>
          <w:trHeight w:val="13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FC6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3E4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云城区腰古镇岭南水东国学旅游项目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ADF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对腰古镇水东古村588座明清古建筑进行修复，同时完善古村周边道路，恢复新兴江至水东古水系河道，建传承国学理学文化，促进地方经济发展。</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30F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CAC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5E9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D95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299000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E738">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820A365">
        <w:tblPrEx>
          <w:tblCellMar>
            <w:top w:w="0" w:type="dxa"/>
            <w:left w:w="0" w:type="dxa"/>
            <w:bottom w:w="0" w:type="dxa"/>
            <w:right w:w="0" w:type="dxa"/>
          </w:tblCellMar>
        </w:tblPrEx>
        <w:trPr>
          <w:trHeight w:val="1079"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E1E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EA4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云浮吾悦广场</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216B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占地约268亩，计划建设高层住宅、商业楼、幼儿园及公共配套设施等，分8期建设。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E61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C19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EB9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068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6861">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FBD3C5A">
        <w:tblPrEx>
          <w:tblCellMar>
            <w:top w:w="0" w:type="dxa"/>
            <w:left w:w="0" w:type="dxa"/>
            <w:bottom w:w="0" w:type="dxa"/>
            <w:right w:w="0" w:type="dxa"/>
          </w:tblCellMar>
        </w:tblPrEx>
        <w:trPr>
          <w:trHeight w:val="1177"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B6B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F47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云浮市新世纪动漫水世界</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17E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建设水上透明滚筒、水上电动碰碰车、支架水池、太空球、充气滑梯等多种游乐设施。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AD8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9EE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D79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8A4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C7F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E033C8B">
        <w:tblPrEx>
          <w:tblCellMar>
            <w:top w:w="0" w:type="dxa"/>
            <w:left w:w="0" w:type="dxa"/>
            <w:bottom w:w="0" w:type="dxa"/>
            <w:right w:w="0" w:type="dxa"/>
          </w:tblCellMar>
        </w:tblPrEx>
        <w:trPr>
          <w:trHeight w:val="7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06B6">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四、现代综合交通运输体系领域</w:t>
            </w:r>
          </w:p>
        </w:tc>
      </w:tr>
      <w:tr w14:paraId="0C249BA1">
        <w:tblPrEx>
          <w:tblCellMar>
            <w:top w:w="0" w:type="dxa"/>
            <w:left w:w="0" w:type="dxa"/>
            <w:bottom w:w="0" w:type="dxa"/>
            <w:right w:w="0" w:type="dxa"/>
          </w:tblCellMar>
        </w:tblPrEx>
        <w:trPr>
          <w:trHeight w:val="10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73E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01EC">
            <w:pPr>
              <w:widowControl/>
              <w:spacing w:line="440" w:lineRule="exact"/>
              <w:jc w:val="left"/>
              <w:textAlignment w:val="center"/>
              <w:rPr>
                <w:rFonts w:ascii="仿宋_GB2312" w:hAnsi="仿宋_GB2312" w:cs="仿宋_GB2312"/>
                <w:sz w:val="24"/>
              </w:rPr>
            </w:pPr>
            <w:r>
              <w:rPr>
                <w:rFonts w:hint="eastAsia" w:ascii="仿宋_GB2312" w:hAnsi="仿宋_GB2312" w:cs="仿宋_GB2312"/>
                <w:kern w:val="0"/>
                <w:sz w:val="24"/>
              </w:rPr>
              <w:t>省道S265线宝马路口至十八坑段公路扩建工程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8AEB">
            <w:pPr>
              <w:widowControl/>
              <w:spacing w:line="440" w:lineRule="exact"/>
              <w:jc w:val="left"/>
              <w:textAlignment w:val="center"/>
              <w:rPr>
                <w:rFonts w:ascii="仿宋_GB2312" w:hAnsi="仿宋_GB2312" w:cs="仿宋_GB2312"/>
                <w:sz w:val="24"/>
              </w:rPr>
            </w:pPr>
            <w:r>
              <w:rPr>
                <w:rFonts w:hint="eastAsia" w:ascii="仿宋_GB2312" w:hAnsi="仿宋_GB2312" w:cs="仿宋_GB2312"/>
                <w:kern w:val="0"/>
                <w:sz w:val="24"/>
              </w:rPr>
              <w:t>全长10.932公里，按三级公路标准设计，设计速度30km/h。工程建设内容包括路基、路面、交通安全设施及照明设施等。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F957E">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1172">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 xml:space="preserve">31600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5E4A">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E8BC">
            <w:pPr>
              <w:widowControl/>
              <w:spacing w:line="440" w:lineRule="exact"/>
              <w:jc w:val="center"/>
              <w:textAlignment w:val="center"/>
              <w:rPr>
                <w:rFonts w:ascii="仿宋_GB2312" w:hAnsi="仿宋_GB2312" w:cs="仿宋_GB2312"/>
                <w:sz w:val="24"/>
              </w:rPr>
            </w:pPr>
            <w:r>
              <w:rPr>
                <w:rFonts w:hint="eastAsia" w:ascii="仿宋_GB2312" w:hAnsi="仿宋_GB2312" w:cs="仿宋_GB2312"/>
                <w:kern w:val="0"/>
                <w:sz w:val="24"/>
              </w:rPr>
              <w:t xml:space="preserve">31600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7A4A">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29A6C45">
        <w:tblPrEx>
          <w:tblCellMar>
            <w:top w:w="0" w:type="dxa"/>
            <w:left w:w="0" w:type="dxa"/>
            <w:bottom w:w="0" w:type="dxa"/>
            <w:right w:w="0" w:type="dxa"/>
          </w:tblCellMar>
        </w:tblPrEx>
        <w:trPr>
          <w:trHeight w:val="16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53D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28C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省道S265（前锋围仔段）至江罗高速南盛出口连接线工程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916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建设路线长4.251公里，项目路基宽7.5米，路面宽6.5米，路基挖方、路基填方、软土地基处理、排水沟、坡面植物防护、坡面圬工防护、挡土墙1395米，水泥混凝土路面、涵洞工程23道，交叉工程7处，改路工程2处。</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2AF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E49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8044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970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E99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8044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64F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DFBE741">
        <w:tblPrEx>
          <w:tblCellMar>
            <w:top w:w="0" w:type="dxa"/>
            <w:left w:w="0" w:type="dxa"/>
            <w:bottom w:w="0" w:type="dxa"/>
            <w:right w:w="0" w:type="dxa"/>
          </w:tblCellMar>
        </w:tblPrEx>
        <w:trPr>
          <w:trHeight w:val="97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1CE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E83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云城区思劳东高速出入口连接线工程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A67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长约2.4公里，路基宽40米，双向6车道，设计速度60km/h，水泥混凝土路面，含一座跨铁路隧道中桥工程，包含道路工程、桥涵工程、排水排污工程、照明工程、公共交通工程、绿化工程、交通安全设施及管线综合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83F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B85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10998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F968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2B5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7998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CC89">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C7543C2">
        <w:tblPrEx>
          <w:tblCellMar>
            <w:top w:w="0" w:type="dxa"/>
            <w:left w:w="0" w:type="dxa"/>
            <w:bottom w:w="0" w:type="dxa"/>
            <w:right w:w="0" w:type="dxa"/>
          </w:tblCellMar>
        </w:tblPrEx>
        <w:trPr>
          <w:trHeight w:val="12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1998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16C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县道X470线南盛十八坑至江罗高速出口连接线段扩建工程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807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建设加铺沥青混凝土面层44800平方米，全线设中桥2座（一座半幅加宽，一座重建），涵洞8道（涵洞加长），平面交叉2处。</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459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864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4540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699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7C9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4540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12A6">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4A4FA11">
        <w:tblPrEx>
          <w:tblCellMar>
            <w:top w:w="0" w:type="dxa"/>
            <w:left w:w="0" w:type="dxa"/>
            <w:bottom w:w="0" w:type="dxa"/>
            <w:right w:w="0" w:type="dxa"/>
          </w:tblCellMar>
        </w:tblPrEx>
        <w:trPr>
          <w:trHeight w:val="7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4A7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38E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县道X470小珠线扩建工程(K25+187-K37+690）</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21A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全长12.5公里，工程建设内容包括路线、路基、路面、交通安全设施及照明工程等。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781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0C2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10625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8AE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848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9625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CDEB">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BEFA6DA">
        <w:tblPrEx>
          <w:tblCellMar>
            <w:top w:w="0" w:type="dxa"/>
            <w:left w:w="0" w:type="dxa"/>
            <w:bottom w:w="0" w:type="dxa"/>
            <w:right w:w="0" w:type="dxa"/>
          </w:tblCellMar>
        </w:tblPrEx>
        <w:trPr>
          <w:trHeight w:val="14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637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0BE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云城区云石大道东海钢铁至金晟兰建设工程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C3C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全长4.15公里，路基宽60米，工程建设内容包括路面、路基、桥涵、绿化及交通安全设施、照明工程及排水排污工程等。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A23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FBE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45650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35A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9130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1E3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36520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633F">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A38ACAB">
        <w:tblPrEx>
          <w:tblCellMar>
            <w:top w:w="0" w:type="dxa"/>
            <w:left w:w="0" w:type="dxa"/>
            <w:bottom w:w="0" w:type="dxa"/>
            <w:right w:w="0" w:type="dxa"/>
          </w:tblCellMar>
        </w:tblPrEx>
        <w:trPr>
          <w:trHeight w:val="7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48B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441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省道S537线（云城区段）高要交界至凤凰坳段改建工程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92A9">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全长6公里，路基宽18米，工程建设内容包括路基、路面、交通安全设施等。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397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B43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21000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5FC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12A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21000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4176">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267C044">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A76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56C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kern w:val="0"/>
                <w:sz w:val="24"/>
              </w:rPr>
              <w:t>深南</w:t>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高铁云浮站站城一体化项目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484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规划用地250公顷，重点建设南深高铁云浮站站城一体化（含换乘中心、旅游服务中心、星级酒店、商务办公等功能区块），并以站城融合为理念，结合交通功能与城市功能，进行周边区域整体开发。</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CD9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53C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B1D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FF5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3302">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3BA17B2">
        <w:tblPrEx>
          <w:tblCellMar>
            <w:top w:w="0" w:type="dxa"/>
            <w:left w:w="0" w:type="dxa"/>
            <w:bottom w:w="0" w:type="dxa"/>
            <w:right w:w="0" w:type="dxa"/>
          </w:tblCellMar>
        </w:tblPrEx>
        <w:trPr>
          <w:trHeight w:val="4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4AC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0E9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广东金属智造科技产业园（腰古片区）交通主干道项目建设工程（东部快线南延段、腰古横三路）</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3A4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建设长度2.53公里。1.云浮市云城区腰古组团东部快线南延段全长约 1.6 公里；2.云浮市云城区腰古横三路，全长约 0.93 公里。</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225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52D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18567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392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2BE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6567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E493">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2628BC1">
        <w:tblPrEx>
          <w:tblCellMar>
            <w:top w:w="0" w:type="dxa"/>
            <w:left w:w="0" w:type="dxa"/>
            <w:bottom w:w="0" w:type="dxa"/>
            <w:right w:w="0"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4B3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五、现代水利基础设施体系领域</w:t>
            </w:r>
          </w:p>
        </w:tc>
      </w:tr>
      <w:tr w14:paraId="2C21556F">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FAF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77D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云浮市云城区碧道建设工程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3CE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至2025 年建成碧道 77.4km，其中城镇型碧道 19.4km，乡野型碧道 58km。主要建设内容涵盖水环境治理、水生态修复与保护、水安全提升、特色与景观营造、游憩系统构建等方面。</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C4C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4753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50700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F1E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46E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50700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DA93">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02AF99F">
        <w:tblPrEx>
          <w:tblCellMar>
            <w:top w:w="0" w:type="dxa"/>
            <w:left w:w="0" w:type="dxa"/>
            <w:bottom w:w="0" w:type="dxa"/>
            <w:right w:w="0" w:type="dxa"/>
          </w:tblCellMar>
        </w:tblPrEx>
        <w:trPr>
          <w:trHeight w:val="22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329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E99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云浮市云城区重点河段综合整治工程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F71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南山河城区段进行景观升级改造，对下游段防洪达标治理；在新兴江右岸建设取水泵站，计划通过2条φ700管道向企业供水；在靠近云表河腰古社区附近，新开长约1.5km河道，将新兴江、云表河及腰古镇水系连通。同时，对云城区中小河流尚未防洪达标的中小河流进行治理（长度约 40km）。</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377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EEB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0DD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BDD2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7A18E">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8040340">
        <w:tblPrEx>
          <w:tblCellMar>
            <w:top w:w="0" w:type="dxa"/>
            <w:left w:w="0" w:type="dxa"/>
            <w:bottom w:w="0" w:type="dxa"/>
            <w:right w:w="0" w:type="dxa"/>
          </w:tblCellMar>
        </w:tblPrEx>
        <w:trPr>
          <w:trHeight w:val="8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54F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58F0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云城区农村饮水安全巩固提升工程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EA4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对全区约300个供水点、镇级自来水厂以及500条自然村（水池、管网）提质改造，采用一体化净水设备，更换旧管网。</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40D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B8A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5DF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302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1BB2">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2B84371">
        <w:tblPrEx>
          <w:tblCellMar>
            <w:top w:w="0" w:type="dxa"/>
            <w:left w:w="0" w:type="dxa"/>
            <w:bottom w:w="0" w:type="dxa"/>
            <w:right w:w="0" w:type="dxa"/>
          </w:tblCellMar>
        </w:tblPrEx>
        <w:trPr>
          <w:trHeight w:val="11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D92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162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云浮市云城区金属智造科技产业园（腰古片区）自来水供水工程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142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对腰古镇自来水厂厂区升级和扩建、对取水泵站及取水口升级改造、引水管网改造、供水管网升级和扩建，安装日供应量3000吨水处理设备，铺设供水管网22公里等工程。</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E07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250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17A9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2C7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9D8F">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7315A5B">
        <w:tblPrEx>
          <w:tblCellMar>
            <w:top w:w="0" w:type="dxa"/>
            <w:left w:w="0" w:type="dxa"/>
            <w:bottom w:w="0" w:type="dxa"/>
            <w:right w:w="0" w:type="dxa"/>
          </w:tblCellMar>
        </w:tblPrEx>
        <w:trPr>
          <w:trHeight w:val="17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64D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AAB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云城区腰古镇污水管网建设工程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B68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项目新铺设污水管网，建设管道长度共27公里，管径DN500-DN1200,接驳腰古镇区污水处理厂。预制装配式圆形污水检查井（φ1200）248座，预制装配式圆形污水检查井（φ1500）139座，矩形预制装配式污水检查井（1360x1360）146座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A65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DBA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12100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9FF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D0D4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9100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0E0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306002E">
        <w:tblPrEx>
          <w:tblCellMar>
            <w:top w:w="0" w:type="dxa"/>
            <w:left w:w="0" w:type="dxa"/>
            <w:bottom w:w="0" w:type="dxa"/>
            <w:right w:w="0" w:type="dxa"/>
          </w:tblCellMar>
        </w:tblPrEx>
        <w:trPr>
          <w:trHeight w:val="108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001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B57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云城区小型水库除险加固工程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87F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对全区21宗小型水库除险加固：（1）对大坝进行除险加固；（2）加固溢洪道，拆除箱涵段，新建交通桥，完善消能措施；（3）重建输水涵管；（4）完善大坝沉陷位移观测、水位观测、渗流观测等设施；（5）新建管养房，修复防汛道路、补充防汛物资，进行白蚁防治；（6）完善和落实运行管理制度，规范工程管理。</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464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E52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7F3E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B80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FB558">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5996AF0">
        <w:tblPrEx>
          <w:tblCellMar>
            <w:top w:w="0" w:type="dxa"/>
            <w:left w:w="0" w:type="dxa"/>
            <w:bottom w:w="0" w:type="dxa"/>
            <w:right w:w="0" w:type="dxa"/>
          </w:tblCellMar>
        </w:tblPrEx>
        <w:trPr>
          <w:trHeight w:val="6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0B3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六、区域融合发展建设领域</w:t>
            </w:r>
          </w:p>
        </w:tc>
      </w:tr>
      <w:tr w14:paraId="37CB0D61">
        <w:tblPrEx>
          <w:tblCellMar>
            <w:top w:w="0" w:type="dxa"/>
            <w:left w:w="0" w:type="dxa"/>
            <w:bottom w:w="0" w:type="dxa"/>
            <w:right w:w="0" w:type="dxa"/>
          </w:tblCellMar>
        </w:tblPrEx>
        <w:trPr>
          <w:trHeight w:val="22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52E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789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蟠龙天湖景区建设项目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FB6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产业组团：建设彩玉文化中心、石艺深加工基地、会展中心、电商中心等；艺术组团：建设文化艺术街区、云石遗址博物馆；教育组团：建设彩玉主题公园、鲁迅美术学院研究生分院、艺术人才孵化基地等，旅游组团：天坑酒店、天湖公园、山林景观带、蟠龙洞景区、天湖广场、沿湖亲水景观、沿湖商业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13A6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D23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280000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4DF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592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275000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F546">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2532801">
        <w:tblPrEx>
          <w:tblCellMar>
            <w:top w:w="0" w:type="dxa"/>
            <w:left w:w="0" w:type="dxa"/>
            <w:bottom w:w="0" w:type="dxa"/>
            <w:right w:w="0" w:type="dxa"/>
          </w:tblCellMar>
        </w:tblPrEx>
        <w:trPr>
          <w:trHeight w:val="13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85D0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455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金晟达物流项目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0E48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建设三层综合楼(设办公室，员工宿舍，食堂，驾驶员休息室、车辆调度室)、成品中转库房（80000平方米)、停车区（30000平方米)、汽修车间、备品配件仓库等。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4A3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6D1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CC2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E1B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24A3">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A68709A">
        <w:tblPrEx>
          <w:tblCellMar>
            <w:top w:w="0" w:type="dxa"/>
            <w:left w:w="0" w:type="dxa"/>
            <w:bottom w:w="0" w:type="dxa"/>
            <w:right w:w="0" w:type="dxa"/>
          </w:tblCellMar>
        </w:tblPrEx>
        <w:trPr>
          <w:trHeight w:val="15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93C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9EA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广东云浮工业园创业创新中心</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C38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生物医药企业孵化创新创业服务网络构建、评价及决策支撑综合服务平台，包括中医药研究中心，内含园区展示中心、中医药检测中心、孵化中心将科研成果转化为产品；新型电商中心；省级生物医药科技企业孵化器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07A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857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5F6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0CB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C8C4">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E4433A2">
        <w:tblPrEx>
          <w:tblCellMar>
            <w:top w:w="0" w:type="dxa"/>
            <w:left w:w="0" w:type="dxa"/>
            <w:bottom w:w="0" w:type="dxa"/>
            <w:right w:w="0"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F5E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七、农业农村建设领域</w:t>
            </w:r>
          </w:p>
        </w:tc>
      </w:tr>
      <w:tr w14:paraId="06E43E39">
        <w:tblPrEx>
          <w:tblCellMar>
            <w:top w:w="0" w:type="dxa"/>
            <w:left w:w="0" w:type="dxa"/>
            <w:bottom w:w="0" w:type="dxa"/>
            <w:right w:w="0" w:type="dxa"/>
          </w:tblCellMar>
        </w:tblPrEx>
        <w:trPr>
          <w:trHeight w:val="12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DAC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689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广东省云浮市云城区国家现代农业产业园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CB1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kern w:val="0"/>
                <w:sz w:val="24"/>
              </w:rPr>
              <w:t>建设基础设施与公共服务、种植转型升级、产业融合、科技与品牌支撑、土地流转与贴息贷款五大类，17个建设项目。</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F1C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A8E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183550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F54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59706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79F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123844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F50D">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0726CC9">
        <w:tblPrEx>
          <w:tblCellMar>
            <w:top w:w="0" w:type="dxa"/>
            <w:left w:w="0" w:type="dxa"/>
            <w:bottom w:w="0" w:type="dxa"/>
            <w:right w:w="0" w:type="dxa"/>
          </w:tblCellMar>
        </w:tblPrEx>
        <w:trPr>
          <w:trHeight w:val="11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67B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49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F97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云城区花卉产业园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F39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建设基础设施、公共服务、品牌提升、土地流转、产学研、农旅融合六大类（园区道路、标准种植大棚、交易中心、花卉产业技术研究院等12个项目）。</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11D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091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26000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58A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2380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277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23620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F8D9">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41E6591">
        <w:tblPrEx>
          <w:tblCellMar>
            <w:top w:w="0" w:type="dxa"/>
            <w:left w:w="0" w:type="dxa"/>
            <w:bottom w:w="0" w:type="dxa"/>
            <w:right w:w="0" w:type="dxa"/>
          </w:tblCellMar>
        </w:tblPrEx>
        <w:trPr>
          <w:trHeight w:val="8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02D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06A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云城区蔬菜产业园</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DF59">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建设基础设施、公共服务、品牌提升、土地流转、产学研、农旅融合六大类。</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BAB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1BD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6D5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DA79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963C">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5784CA4">
        <w:tblPrEx>
          <w:tblCellMar>
            <w:top w:w="0" w:type="dxa"/>
            <w:left w:w="0" w:type="dxa"/>
            <w:bottom w:w="0" w:type="dxa"/>
            <w:right w:w="0" w:type="dxa"/>
          </w:tblCellMar>
        </w:tblPrEx>
        <w:trPr>
          <w:trHeight w:val="14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D29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5C4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云城区粮食功能区（高标准农田建设项目、灌区改造工程）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FAF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1.巩固完善粮食功能区面积5.07万亩。</w:t>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br w:type="textWrapp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2.新建1.25万亩高标准农田建设项目，改善田间道路，排灌系统。</w:t>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br w:type="textWrapp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3.改造灌区8.6万亩，维修加固引水陂头3座；改造干、支渠长度共34.34km，其中干渠长34.0km，支渠长0.34km；改造渠系建筑物共150座。</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2BE0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7F27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22200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B5C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52B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22200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24B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F384797">
        <w:tblPrEx>
          <w:tblCellMar>
            <w:top w:w="0" w:type="dxa"/>
            <w:left w:w="0" w:type="dxa"/>
            <w:bottom w:w="0" w:type="dxa"/>
            <w:right w:w="0" w:type="dxa"/>
          </w:tblCellMar>
        </w:tblPrEx>
        <w:trPr>
          <w:trHeight w:val="1167"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BD0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00D3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云浮市农产品冷链物流优势产区产业园（云城部分）</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EE5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参与云浮市农产品冷链物流产业园，建设基础设施、品牌提升、联农带农等项目（初定）。</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9BB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A17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582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4650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C91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20350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9D8E">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767A22A">
        <w:tblPrEx>
          <w:tblCellMar>
            <w:top w:w="0" w:type="dxa"/>
            <w:left w:w="0" w:type="dxa"/>
            <w:bottom w:w="0" w:type="dxa"/>
            <w:right w:w="0" w:type="dxa"/>
          </w:tblCellMar>
        </w:tblPrEx>
        <w:trPr>
          <w:trHeight w:val="1396"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E62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1B2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云浮市南药优势产区产业园（云城部分）</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7D0B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建设基础设施、品牌提升、土地流转、产学研、农旅融合、联农带农等项目（初定）。</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3A0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A76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805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5730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E67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24270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021E">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13C9648">
        <w:tblPrEx>
          <w:tblCellMar>
            <w:top w:w="0" w:type="dxa"/>
            <w:left w:w="0" w:type="dxa"/>
            <w:bottom w:w="0" w:type="dxa"/>
            <w:right w:w="0" w:type="dxa"/>
          </w:tblCellMar>
        </w:tblPrEx>
        <w:trPr>
          <w:trHeight w:val="2522"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ED4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097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云浮市南药国家级产业集群（云城部分）</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995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建设优质原料基地，建设加工物流设施装备，完善商贸物流设施，发展康养产业项目，健全利益联结机制，打造一个产业高地，壮大一批龙头企业，创响一批知名品牌，扩大一批就业岗位，培育乡村产业增长极。</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167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9F2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D8A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2C9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5C64">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53D9BEF">
        <w:tblPrEx>
          <w:tblCellMar>
            <w:top w:w="0" w:type="dxa"/>
            <w:left w:w="0" w:type="dxa"/>
            <w:bottom w:w="0" w:type="dxa"/>
            <w:right w:w="0" w:type="dxa"/>
          </w:tblCellMar>
        </w:tblPrEx>
        <w:trPr>
          <w:trHeight w:val="209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791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FE2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云浮市爱丽孚药菊标准化大棚种植(育苗)示范及农业观光项目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2FBD">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建设7千平方的现代玻璃温室，1200平方的标准冷库，办公区，电商中心，农业观光科普馆，户外景观，园区内道路绿化，及药食同源主题餐厅等。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023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29B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33A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49D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432F">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2FC49DE">
        <w:tblPrEx>
          <w:tblCellMar>
            <w:top w:w="0" w:type="dxa"/>
            <w:left w:w="0" w:type="dxa"/>
            <w:bottom w:w="0" w:type="dxa"/>
            <w:right w:w="0" w:type="dxa"/>
          </w:tblCellMar>
        </w:tblPrEx>
        <w:trPr>
          <w:trHeight w:val="18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EE4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BF7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云浮市云城区腰古镇仁善城头田园综合项目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47E9">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兰花产学研基地、兰花研发中心、现代农业示范园、花木种植、创意农业区、农业教研实践区、南药种植、农业创业区、农业科普研发中心、综合服务中心、亲子乐园、农家乐、景观池、游泳池、鱼塘、驿站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630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2018-2028</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A2D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AD2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E3D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2BCB">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D270FE0">
        <w:tblPrEx>
          <w:tblCellMar>
            <w:top w:w="0" w:type="dxa"/>
            <w:left w:w="0" w:type="dxa"/>
            <w:bottom w:w="0" w:type="dxa"/>
            <w:right w:w="0" w:type="dxa"/>
          </w:tblCellMar>
        </w:tblPrEx>
        <w:trPr>
          <w:trHeight w:val="14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085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3D5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云浮市云城区2020年农村人居环境整治项目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277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涉及</w:t>
            </w:r>
            <w:r>
              <w:rPr>
                <w:rStyle w:val="178"/>
                <w:rFonts w:hint="default" w:ascii="宋体" w:hAnsi="宋体"/>
                <w:color w:val="0D0D0D" w:themeColor="text1" w:themeTint="F2"/>
                <w14:textFill>
                  <w14:solidFill>
                    <w14:schemeClr w14:val="tx1">
                      <w14:lumMod w14:val="95000"/>
                      <w14:lumOff w14:val="5000"/>
                    </w14:schemeClr>
                  </w14:solidFill>
                </w14:textFill>
              </w:rPr>
              <w:t>8个镇（街）98个行政村，5万户，22万人，主要包括：农村生活污水和垃圾处理，“三清三拆三整治”，建设示范村、精品村，包括村道硬底化、农村厕所、供水设施、生活垃圾处理设施、雨污分流管网等基础设施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EB5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979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29800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9293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5610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AA7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24190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8FA7">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79F8BD3">
        <w:tblPrEx>
          <w:tblCellMar>
            <w:top w:w="0" w:type="dxa"/>
            <w:left w:w="0" w:type="dxa"/>
            <w:bottom w:w="0" w:type="dxa"/>
            <w:right w:w="0" w:type="dxa"/>
          </w:tblCellMar>
        </w:tblPrEx>
        <w:trPr>
          <w:trHeight w:val="11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DBE1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A76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云城区农村人居环境整治提升项目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EDB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建设主要内容主要包括：村内道路硬底化、老旧厕所提升、四小园建设、农房风貌提升、破旧泥砖房清拆等。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356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F040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72443</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5A2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6F9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72443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7256">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5E99863">
        <w:tblPrEx>
          <w:tblCellMar>
            <w:top w:w="0" w:type="dxa"/>
            <w:left w:w="0" w:type="dxa"/>
            <w:bottom w:w="0" w:type="dxa"/>
            <w:right w:w="0" w:type="dxa"/>
          </w:tblCellMar>
        </w:tblPrEx>
        <w:trPr>
          <w:trHeight w:val="6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B89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59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D1F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云城区“精美农村”提升项目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3AF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每年建设一批精品村、特色村等。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E6F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4C4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25000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1E4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9EB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25000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715D">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47C62D9">
        <w:tblPrEx>
          <w:tblCellMar>
            <w:top w:w="0" w:type="dxa"/>
            <w:left w:w="0" w:type="dxa"/>
            <w:bottom w:w="0" w:type="dxa"/>
            <w:right w:w="0" w:type="dxa"/>
          </w:tblCellMar>
        </w:tblPrEx>
        <w:trPr>
          <w:trHeight w:val="9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7E0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60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203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云城区乡村振兴环境交通基础设施改造项目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D83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升级改造道路350公里，包括绿化15万平方米、改造桥梁45座、排水排污管道设施45公里。</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4C1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376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0C5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97500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69C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52500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CB83">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C5139B3">
        <w:trPr>
          <w:trHeight w:val="13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F58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CA5CE">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云城区河口街旧圩镇范围环境整治改造项目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969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改造旧圩镇范围内的环境整治，建设雨污分流管网设施，破旧道路硬地化升级改造和升级周边的环保设施设备等，修建公共服务设施等。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791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F26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76C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496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CB51">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6183521">
        <w:tblPrEx>
          <w:tblCellMar>
            <w:top w:w="0" w:type="dxa"/>
            <w:left w:w="0" w:type="dxa"/>
            <w:bottom w:w="0" w:type="dxa"/>
            <w:right w:w="0" w:type="dxa"/>
          </w:tblCellMar>
        </w:tblPrEx>
        <w:trPr>
          <w:trHeight w:val="11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7C1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62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8B04">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云城区大型生猪规模化养殖场标准化建设</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482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建设猪舍总面积约50000平方米，沼气池20000立方。猪场配套设施占地总面积23000平方米，生活区建筑面积6300平方米。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ED4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91A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10725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0B2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9335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10725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7C4B">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B17654D">
        <w:tblPrEx>
          <w:tblCellMar>
            <w:top w:w="0" w:type="dxa"/>
            <w:left w:w="0" w:type="dxa"/>
            <w:bottom w:w="0" w:type="dxa"/>
            <w:right w:w="0" w:type="dxa"/>
          </w:tblCellMar>
        </w:tblPrEx>
        <w:trPr>
          <w:trHeight w:val="13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F1C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2B9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云城区生猪屠宰场转型升级项目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9155">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拟建屠宰场8200平方米、低温冷库共6000平方米；管理及检测中心9500平方米；车位237个；配电、消防、污水处理站、绿化等。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B20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4A8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1C7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9F1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D2EE8">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5A3C013">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B86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八、生态环境建设领域</w:t>
            </w:r>
          </w:p>
        </w:tc>
      </w:tr>
      <w:tr w14:paraId="77E4DD67">
        <w:tblPrEx>
          <w:tblCellMar>
            <w:top w:w="0" w:type="dxa"/>
            <w:left w:w="0" w:type="dxa"/>
            <w:bottom w:w="0" w:type="dxa"/>
            <w:right w:w="0" w:type="dxa"/>
          </w:tblCellMar>
        </w:tblPrEx>
        <w:trPr>
          <w:trHeight w:val="21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633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740E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云城区河口污水处理厂扩容提质及管网完善改造工程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C6F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污水处理厂扩建二期,增加1万立方米/日的处理能力在原管网配套建设设计总规模2万立方米/日的基础上再增加2万立方米/日的处理能力(即处理能力达到4万立方米/日),连接城区污水处理厂至泰安河出口段的污水管道,总长约33公里,管径DN800连接河口片区污水收集接驳,管道总长约6公里,管轻DN600。</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EA0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CF1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17080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F29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14518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52C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2562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85A8">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639F7AA">
        <w:tblPrEx>
          <w:tblCellMar>
            <w:top w:w="0" w:type="dxa"/>
            <w:left w:w="0" w:type="dxa"/>
            <w:bottom w:w="0" w:type="dxa"/>
            <w:right w:w="0" w:type="dxa"/>
          </w:tblCellMar>
        </w:tblPrEx>
        <w:trPr>
          <w:trHeight w:val="252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CD0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8030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云城区中心城区大型生活垃圾中转站及附属设施建设项目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4F7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日处理规模为500吨,建设内容为：基础建设（三通一平），包括生活垃圾压缩处理区、废气处理区、临时仓库区、办公区、渗滤液处理区、其他区域建设；购买生活垃圾处理设备、专业收运车辆等。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AAA4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72F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1B1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F59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6C5A">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BC75A31">
        <w:tblPrEx>
          <w:tblCellMar>
            <w:top w:w="0" w:type="dxa"/>
            <w:left w:w="0" w:type="dxa"/>
            <w:bottom w:w="0" w:type="dxa"/>
            <w:right w:w="0" w:type="dxa"/>
          </w:tblCellMar>
        </w:tblPrEx>
        <w:trPr>
          <w:trHeight w:val="12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21B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FFB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云城区中小河流治理工程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808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治理河长70km，护岸140km，河道清淤疏浚70km。</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035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5D3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55000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9BE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650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55000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A8D6">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D206954">
        <w:tblPrEx>
          <w:tblCellMar>
            <w:top w:w="0" w:type="dxa"/>
            <w:left w:w="0" w:type="dxa"/>
            <w:bottom w:w="0" w:type="dxa"/>
            <w:right w:w="0"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391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九、民生保障领域</w:t>
            </w:r>
          </w:p>
        </w:tc>
      </w:tr>
      <w:tr w14:paraId="0CB71D51">
        <w:tblPrEx>
          <w:tblCellMar>
            <w:top w:w="0" w:type="dxa"/>
            <w:left w:w="0" w:type="dxa"/>
            <w:bottom w:w="0" w:type="dxa"/>
            <w:right w:w="0" w:type="dxa"/>
          </w:tblCellMar>
        </w:tblPrEx>
        <w:trPr>
          <w:trHeight w:val="3832"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912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67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F0E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华弘云浮学校建设项目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359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总学制十五年，覆盖幼儿园、小学、初中、高中，终端学生规模超10000人。建设教学楼、实验楼、行政楼、学生宿舍、教工公寓、食堂、图书馆、体育馆、游泳跳水馆、羽毛球馆、乒乓球场、篮球场、田径场、攀岩场、大礼堂、科学馆、专家楼、书院、国际研学中心、国际学术交流中心、风雨连廊及停车场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E0F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A84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3FC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885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198000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C102">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28BB2400">
        <w:tblPrEx>
          <w:tblCellMar>
            <w:top w:w="0" w:type="dxa"/>
            <w:left w:w="0" w:type="dxa"/>
            <w:bottom w:w="0" w:type="dxa"/>
            <w:right w:w="0" w:type="dxa"/>
          </w:tblCellMar>
        </w:tblPrEx>
        <w:trPr>
          <w:trHeight w:val="5639"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3D8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A4D09">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云浮市佛云学校建设项目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58D0">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120亩，分两期建设。一期投资17989万元，占地81亩，建筑面积35001.69平方米，主要建设初建设一幢综合教学楼、一幢高5层的高中部教学楼、一幢高2层的体育馆、一幢高1层的门卫值班室、建设综合教学楼与各建筑相连的连廊及室外运动场、道路、绿化、水电等配套设施建设；二期投资约21000万元，占地39亩，建筑面积约42830平方米，建设主要内容有图书馆综合楼工程，学生公寓工程，教师公寓，门岗亭工程，连廊工程，篮球场等体育设施，供水及供电设施，园建及绿化工程，室外排水工程，围墙等工程。</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491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B44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38989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469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6D4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28989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82F4">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F182D58">
        <w:tblPrEx>
          <w:tblCellMar>
            <w:top w:w="0" w:type="dxa"/>
            <w:left w:w="0" w:type="dxa"/>
            <w:bottom w:w="0" w:type="dxa"/>
            <w:right w:w="0" w:type="dxa"/>
          </w:tblCellMar>
        </w:tblPrEx>
        <w:trPr>
          <w:trHeight w:val="2955"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917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69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1EE1">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sz w:val="24"/>
              </w:rPr>
              <w:t>云浮市实验幼儿园项目（云浮市</w:t>
            </w:r>
            <w:r>
              <w:rPr>
                <w:rFonts w:ascii="宋体" w:hAnsi="宋体"/>
                <w:sz w:val="24"/>
              </w:rPr>
              <w:t>第二幼儿园</w:t>
            </w:r>
            <w:r>
              <w:rPr>
                <w:rFonts w:hint="eastAsia" w:ascii="宋体" w:hAnsi="宋体"/>
                <w:sz w:val="24"/>
              </w:rPr>
              <w:t>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24D8">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10亩，建筑面积为7356平方米。1.建设教学楼一栋，楼高四层，地下一层，建筑面积7335平方米；2.建设楼高一层的门卫室一栋，建筑面积为21平方米；3.建设室外配套基础设施，主要为室外给排水工程、幼儿园广场及道路硬底化工程、照明工程、绿化工程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AAAC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945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3600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8983">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EE7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1600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9E48">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DE06C90">
        <w:tblPrEx>
          <w:tblCellMar>
            <w:top w:w="0" w:type="dxa"/>
            <w:left w:w="0" w:type="dxa"/>
            <w:bottom w:w="0" w:type="dxa"/>
            <w:right w:w="0" w:type="dxa"/>
          </w:tblCellMar>
        </w:tblPrEx>
        <w:trPr>
          <w:trHeight w:val="9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87E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0CAB">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云浮市云城区图书馆建设项目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5F2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面积8038.86平方米，总建筑面积为13700平方米，包含藏书区2560平方米、借阅区2160平方米、咨询服务区240平方米、行政办公区400平方米、公众活动与辅助服务区1120平方米、业务区720平方米、技术设备区320平方米、后勤保障区480平方米、地下车库5700平方米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43B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719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9347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DE4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85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C04F">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9262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D7B5">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621F4785">
        <w:tblPrEx>
          <w:tblCellMar>
            <w:top w:w="0" w:type="dxa"/>
            <w:left w:w="0" w:type="dxa"/>
            <w:bottom w:w="0" w:type="dxa"/>
            <w:right w:w="0" w:type="dxa"/>
          </w:tblCellMar>
        </w:tblPrEx>
        <w:trPr>
          <w:trHeight w:val="38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2BE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71</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08E2">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kern w:val="0"/>
                <w:sz w:val="24"/>
              </w:rPr>
              <w:t>云浮市云城区第二人民医院项目改造工程（腰古人民医院）</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185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原地改扩建，分两期建设。其中：一期总投资18000万元，建设一栋住院综合大楼，地下车库、新建配套后勤业务用房、医院地上停车场和绿化，污水处理、消防设施设备、道路绿化、供水、供电等配套设施；原住院楼改造、公卫楼改造，门诊大楼拆除、仓库楼拆除等；二期总投资12000万元，改造升级现有旧住院楼和公卫楼消防系统，面积约4034平方米；改造旧有住院楼、公卫楼、公寓楼、医技楼等建筑外立面，统一风格，面积约5044平方米。新建发热门诊、肠道门诊综合楼、园区内桥梁2座。</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A3C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F6D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30000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4F2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7000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8E8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23000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BC71">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CD1CDB9">
        <w:tblPrEx>
          <w:tblCellMar>
            <w:top w:w="0" w:type="dxa"/>
            <w:left w:w="0" w:type="dxa"/>
            <w:bottom w:w="0" w:type="dxa"/>
            <w:right w:w="0" w:type="dxa"/>
          </w:tblCellMar>
        </w:tblPrEx>
        <w:trPr>
          <w:trHeight w:val="408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0C35">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72</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D95F">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云浮市云城区人民医院易地新建项目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3DBD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24598平方米，总投资41874万元，分两期建设。其中：一期建筑面积33293平方米，计划投资17999万元，建设床位200张，进行门诊楼、住院医技楼、医辅楼员工宿舍、医院饭堂及其他配套基础设施建设；二期建筑面积26200平方米，计划投资23875万元，设置床位250张。主要新建住院楼一栋、医疗专业装修、购买医疗设备一批及配套设施建设。</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C7C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EC1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41874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3AE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6700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CA5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35174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3CFF">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09237831">
        <w:tblPrEx>
          <w:tblCellMar>
            <w:top w:w="0" w:type="dxa"/>
            <w:left w:w="0" w:type="dxa"/>
            <w:bottom w:w="0" w:type="dxa"/>
            <w:right w:w="0" w:type="dxa"/>
          </w:tblCellMar>
        </w:tblPrEx>
        <w:trPr>
          <w:trHeight w:val="2536"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24C4">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73</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8D2C">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云城区社区居家养老服务中心（站）体系建设</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2C3B">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仿宋_GB2312" w:hAnsi="仿宋_GB2312" w:cs="仿宋_GB2312"/>
                <w:sz w:val="24"/>
              </w:rPr>
              <w:t>新（改）建24个社区居家养老服务中心（站），建筑面积约6150平方米，为老服务覆盖100%城镇社区、60%以上农村社区，培养300名以上养老服务专业人员，形成城区15分钟“为老服务圈”。</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74C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194E">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27C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49C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22000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8F37">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4A0D24D2">
        <w:trPr>
          <w:trHeight w:val="2091"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925B2">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74</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18637">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云城区福利服务中心建设项目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896A">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占地128.1984亩，建设护理院、养老院、敬老院、儿童福利院（未成年人保护中心），配套建设道路、停车场、风雨廊、室外活动场所、值班室等附属设施。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4BE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2019-2022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69D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15557 </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D3C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5500 </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2FB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 xml:space="preserve">10057 </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FEC8">
            <w:pPr>
              <w:spacing w:line="440" w:lineRule="exact"/>
              <w:jc w:val="center"/>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C41C72F">
        <w:tblPrEx>
          <w:tblCellMar>
            <w:top w:w="0" w:type="dxa"/>
            <w:left w:w="0" w:type="dxa"/>
            <w:bottom w:w="0" w:type="dxa"/>
            <w:right w:w="0" w:type="dxa"/>
          </w:tblCellMar>
        </w:tblPrEx>
        <w:trPr>
          <w:trHeight w:val="5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D3C3">
            <w:pPr>
              <w:widowControl/>
              <w:spacing w:line="44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b/>
                <w:color w:val="0D0D0D" w:themeColor="text1" w:themeTint="F2"/>
                <w:kern w:val="0"/>
                <w:sz w:val="24"/>
                <w14:textFill>
                  <w14:solidFill>
                    <w14:schemeClr w14:val="tx1">
                      <w14:lumMod w14:val="95000"/>
                      <w14:lumOff w14:val="5000"/>
                    </w14:schemeClr>
                  </w14:solidFill>
                </w14:textFill>
              </w:rPr>
              <w:t>十、现代能源体系领域</w:t>
            </w:r>
          </w:p>
        </w:tc>
      </w:tr>
      <w:tr w14:paraId="5B02BDEA">
        <w:tblPrEx>
          <w:tblCellMar>
            <w:top w:w="0" w:type="dxa"/>
            <w:left w:w="0" w:type="dxa"/>
            <w:bottom w:w="0" w:type="dxa"/>
            <w:right w:w="0" w:type="dxa"/>
          </w:tblCellMar>
        </w:tblPrEx>
        <w:trPr>
          <w:trHeight w:val="6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B776">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75</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6301">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500</w:t>
            </w:r>
            <w:r>
              <w:rPr>
                <w:rStyle w:val="179"/>
                <w:rFonts w:hint="default" w:ascii="宋体" w:hAnsi="宋体"/>
                <w:color w:val="0D0D0D" w:themeColor="text1" w:themeTint="F2"/>
                <w14:textFill>
                  <w14:solidFill>
                    <w14:schemeClr w14:val="tx1">
                      <w14:lumMod w14:val="95000"/>
                      <w14:lumOff w14:val="5000"/>
                    </w14:schemeClr>
                  </w14:solidFill>
                </w14:textFill>
              </w:rPr>
              <w:t>千伏云城输变电工程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6A70">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6" name="矩形_17_SpCnt_80"/>
                  <wp:cNvGraphicFramePr/>
                  <a:graphic xmlns:a="http://schemas.openxmlformats.org/drawingml/2006/main">
                    <a:graphicData uri="http://schemas.openxmlformats.org/drawingml/2006/picture">
                      <pic:pic xmlns:pic="http://schemas.openxmlformats.org/drawingml/2006/picture">
                        <pic:nvPicPr>
                          <pic:cNvPr id="2166" name="矩形_17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0" name="矩形_9_SpCnt_80"/>
                  <wp:cNvGraphicFramePr/>
                  <a:graphic xmlns:a="http://schemas.openxmlformats.org/drawingml/2006/main">
                    <a:graphicData uri="http://schemas.openxmlformats.org/drawingml/2006/picture">
                      <pic:pic xmlns:pic="http://schemas.openxmlformats.org/drawingml/2006/picture">
                        <pic:nvPicPr>
                          <pic:cNvPr id="2160" name="矩形_9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4" name="矩形_17_SpCnt_81"/>
                  <wp:cNvGraphicFramePr/>
                  <a:graphic xmlns:a="http://schemas.openxmlformats.org/drawingml/2006/main">
                    <a:graphicData uri="http://schemas.openxmlformats.org/drawingml/2006/picture">
                      <pic:pic xmlns:pic="http://schemas.openxmlformats.org/drawingml/2006/picture">
                        <pic:nvPicPr>
                          <pic:cNvPr id="2174" name="矩形_17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3" name="矩形_17_SpCnt_82"/>
                  <wp:cNvGraphicFramePr/>
                  <a:graphic xmlns:a="http://schemas.openxmlformats.org/drawingml/2006/main">
                    <a:graphicData uri="http://schemas.openxmlformats.org/drawingml/2006/picture">
                      <pic:pic xmlns:pic="http://schemas.openxmlformats.org/drawingml/2006/picture">
                        <pic:nvPicPr>
                          <pic:cNvPr id="2153" name="矩形_17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9" name="矩形_17_SpCnt_83"/>
                  <wp:cNvGraphicFramePr/>
                  <a:graphic xmlns:a="http://schemas.openxmlformats.org/drawingml/2006/main">
                    <a:graphicData uri="http://schemas.openxmlformats.org/drawingml/2006/picture">
                      <pic:pic xmlns:pic="http://schemas.openxmlformats.org/drawingml/2006/picture">
                        <pic:nvPicPr>
                          <pic:cNvPr id="2159" name="矩形_17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6" name="矩形_4_SpCnt_80"/>
                  <wp:cNvGraphicFramePr/>
                  <a:graphic xmlns:a="http://schemas.openxmlformats.org/drawingml/2006/main">
                    <a:graphicData uri="http://schemas.openxmlformats.org/drawingml/2006/picture">
                      <pic:pic xmlns:pic="http://schemas.openxmlformats.org/drawingml/2006/picture">
                        <pic:nvPicPr>
                          <pic:cNvPr id="2176" name="矩形_4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1" name="矩形_6_SpCnt_80"/>
                  <wp:cNvGraphicFramePr/>
                  <a:graphic xmlns:a="http://schemas.openxmlformats.org/drawingml/2006/main">
                    <a:graphicData uri="http://schemas.openxmlformats.org/drawingml/2006/picture">
                      <pic:pic xmlns:pic="http://schemas.openxmlformats.org/drawingml/2006/picture">
                        <pic:nvPicPr>
                          <pic:cNvPr id="2171" name="矩形_6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4" name="矩形_16_SpCnt_80"/>
                  <wp:cNvGraphicFramePr/>
                  <a:graphic xmlns:a="http://schemas.openxmlformats.org/drawingml/2006/main">
                    <a:graphicData uri="http://schemas.openxmlformats.org/drawingml/2006/picture">
                      <pic:pic xmlns:pic="http://schemas.openxmlformats.org/drawingml/2006/picture">
                        <pic:nvPicPr>
                          <pic:cNvPr id="2154" name="矩形_16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9" name="矩形_6_SpCnt_81"/>
                  <wp:cNvGraphicFramePr/>
                  <a:graphic xmlns:a="http://schemas.openxmlformats.org/drawingml/2006/main">
                    <a:graphicData uri="http://schemas.openxmlformats.org/drawingml/2006/picture">
                      <pic:pic xmlns:pic="http://schemas.openxmlformats.org/drawingml/2006/picture">
                        <pic:nvPicPr>
                          <pic:cNvPr id="2169" name="矩形_6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9" name="矩形_6_SpCnt_82"/>
                  <wp:cNvGraphicFramePr/>
                  <a:graphic xmlns:a="http://schemas.openxmlformats.org/drawingml/2006/main">
                    <a:graphicData uri="http://schemas.openxmlformats.org/drawingml/2006/picture">
                      <pic:pic xmlns:pic="http://schemas.openxmlformats.org/drawingml/2006/picture">
                        <pic:nvPicPr>
                          <pic:cNvPr id="2179" name="矩形_6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0" name="矩形_16_SpCnt_81"/>
                  <wp:cNvGraphicFramePr/>
                  <a:graphic xmlns:a="http://schemas.openxmlformats.org/drawingml/2006/main">
                    <a:graphicData uri="http://schemas.openxmlformats.org/drawingml/2006/picture">
                      <pic:pic xmlns:pic="http://schemas.openxmlformats.org/drawingml/2006/picture">
                        <pic:nvPicPr>
                          <pic:cNvPr id="2170" name="矩形_16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6" name="矩形_9_SpCnt_81"/>
                  <wp:cNvGraphicFramePr/>
                  <a:graphic xmlns:a="http://schemas.openxmlformats.org/drawingml/2006/main">
                    <a:graphicData uri="http://schemas.openxmlformats.org/drawingml/2006/picture">
                      <pic:pic xmlns:pic="http://schemas.openxmlformats.org/drawingml/2006/picture">
                        <pic:nvPicPr>
                          <pic:cNvPr id="2156" name="矩形_9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8" name="矩形_16_SpCnt_82"/>
                  <wp:cNvGraphicFramePr/>
                  <a:graphic xmlns:a="http://schemas.openxmlformats.org/drawingml/2006/main">
                    <a:graphicData uri="http://schemas.openxmlformats.org/drawingml/2006/picture">
                      <pic:pic xmlns:pic="http://schemas.openxmlformats.org/drawingml/2006/picture">
                        <pic:nvPicPr>
                          <pic:cNvPr id="2178" name="矩形_16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77" name="矩形_3_SpCnt_80"/>
                  <wp:cNvGraphicFramePr/>
                  <a:graphic xmlns:a="http://schemas.openxmlformats.org/drawingml/2006/main">
                    <a:graphicData uri="http://schemas.openxmlformats.org/drawingml/2006/picture">
                      <pic:pic xmlns:pic="http://schemas.openxmlformats.org/drawingml/2006/picture">
                        <pic:nvPicPr>
                          <pic:cNvPr id="2177" name="矩形_3_SpCnt_8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3" name="矩形_3_SpCnt_81"/>
                  <wp:cNvGraphicFramePr/>
                  <a:graphic xmlns:a="http://schemas.openxmlformats.org/drawingml/2006/main">
                    <a:graphicData uri="http://schemas.openxmlformats.org/drawingml/2006/picture">
                      <pic:pic xmlns:pic="http://schemas.openxmlformats.org/drawingml/2006/picture">
                        <pic:nvPicPr>
                          <pic:cNvPr id="2163" name="矩形_3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4" name="矩形_4_SpCnt_81"/>
                  <wp:cNvGraphicFramePr/>
                  <a:graphic xmlns:a="http://schemas.openxmlformats.org/drawingml/2006/main">
                    <a:graphicData uri="http://schemas.openxmlformats.org/drawingml/2006/picture">
                      <pic:pic xmlns:pic="http://schemas.openxmlformats.org/drawingml/2006/picture">
                        <pic:nvPicPr>
                          <pic:cNvPr id="2164" name="矩形_4_SpCnt_8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65" name="矩形_4_SpCnt_82"/>
                  <wp:cNvGraphicFramePr/>
                  <a:graphic xmlns:a="http://schemas.openxmlformats.org/drawingml/2006/main">
                    <a:graphicData uri="http://schemas.openxmlformats.org/drawingml/2006/picture">
                      <pic:pic xmlns:pic="http://schemas.openxmlformats.org/drawingml/2006/picture">
                        <pic:nvPicPr>
                          <pic:cNvPr id="2165" name="矩形_4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49" name="矩形_16_SpCnt_83"/>
                  <wp:cNvGraphicFramePr/>
                  <a:graphic xmlns:a="http://schemas.openxmlformats.org/drawingml/2006/main">
                    <a:graphicData uri="http://schemas.openxmlformats.org/drawingml/2006/picture">
                      <pic:pic xmlns:pic="http://schemas.openxmlformats.org/drawingml/2006/picture">
                        <pic:nvPicPr>
                          <pic:cNvPr id="2149" name="矩形_16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55" name="矩形_4_SpCnt_83"/>
                  <wp:cNvGraphicFramePr/>
                  <a:graphic xmlns:a="http://schemas.openxmlformats.org/drawingml/2006/main">
                    <a:graphicData uri="http://schemas.openxmlformats.org/drawingml/2006/picture">
                      <pic:pic xmlns:pic="http://schemas.openxmlformats.org/drawingml/2006/picture">
                        <pic:nvPicPr>
                          <pic:cNvPr id="2155" name="矩形_4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8" name="矩形_3_SpCnt_82"/>
                  <wp:cNvGraphicFramePr/>
                  <a:graphic xmlns:a="http://schemas.openxmlformats.org/drawingml/2006/main">
                    <a:graphicData uri="http://schemas.openxmlformats.org/drawingml/2006/picture">
                      <pic:pic xmlns:pic="http://schemas.openxmlformats.org/drawingml/2006/picture">
                        <pic:nvPicPr>
                          <pic:cNvPr id="2208" name="矩形_3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4" name="矩形_3_SpCnt_83"/>
                  <wp:cNvGraphicFramePr/>
                  <a:graphic xmlns:a="http://schemas.openxmlformats.org/drawingml/2006/main">
                    <a:graphicData uri="http://schemas.openxmlformats.org/drawingml/2006/picture">
                      <pic:pic xmlns:pic="http://schemas.openxmlformats.org/drawingml/2006/picture">
                        <pic:nvPicPr>
                          <pic:cNvPr id="2184" name="矩形_3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1" name="矩形_3_SpCnt_84"/>
                  <wp:cNvGraphicFramePr/>
                  <a:graphic xmlns:a="http://schemas.openxmlformats.org/drawingml/2006/main">
                    <a:graphicData uri="http://schemas.openxmlformats.org/drawingml/2006/picture">
                      <pic:pic xmlns:pic="http://schemas.openxmlformats.org/drawingml/2006/picture">
                        <pic:nvPicPr>
                          <pic:cNvPr id="2191" name="矩形_3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7" name="矩形_9_SpCnt_82"/>
                  <wp:cNvGraphicFramePr/>
                  <a:graphic xmlns:a="http://schemas.openxmlformats.org/drawingml/2006/main">
                    <a:graphicData uri="http://schemas.openxmlformats.org/drawingml/2006/picture">
                      <pic:pic xmlns:pic="http://schemas.openxmlformats.org/drawingml/2006/picture">
                        <pic:nvPicPr>
                          <pic:cNvPr id="2197" name="矩形_9_SpCnt_8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9" name="矩形_6_SpCnt_83"/>
                  <wp:cNvGraphicFramePr/>
                  <a:graphic xmlns:a="http://schemas.openxmlformats.org/drawingml/2006/main">
                    <a:graphicData uri="http://schemas.openxmlformats.org/drawingml/2006/picture">
                      <pic:pic xmlns:pic="http://schemas.openxmlformats.org/drawingml/2006/picture">
                        <pic:nvPicPr>
                          <pic:cNvPr id="2209" name="矩形_6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5" name="矩形_6_SpCnt_84"/>
                  <wp:cNvGraphicFramePr/>
                  <a:graphic xmlns:a="http://schemas.openxmlformats.org/drawingml/2006/main">
                    <a:graphicData uri="http://schemas.openxmlformats.org/drawingml/2006/picture">
                      <pic:pic xmlns:pic="http://schemas.openxmlformats.org/drawingml/2006/picture">
                        <pic:nvPicPr>
                          <pic:cNvPr id="2185" name="矩形_6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8" name="矩形_6_SpCnt_85"/>
                  <wp:cNvGraphicFramePr/>
                  <a:graphic xmlns:a="http://schemas.openxmlformats.org/drawingml/2006/main">
                    <a:graphicData uri="http://schemas.openxmlformats.org/drawingml/2006/picture">
                      <pic:pic xmlns:pic="http://schemas.openxmlformats.org/drawingml/2006/picture">
                        <pic:nvPicPr>
                          <pic:cNvPr id="2198" name="矩形_6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8" name="矩形_9_SpCnt_83"/>
                  <wp:cNvGraphicFramePr/>
                  <a:graphic xmlns:a="http://schemas.openxmlformats.org/drawingml/2006/main">
                    <a:graphicData uri="http://schemas.openxmlformats.org/drawingml/2006/picture">
                      <pic:pic xmlns:pic="http://schemas.openxmlformats.org/drawingml/2006/picture">
                        <pic:nvPicPr>
                          <pic:cNvPr id="2188" name="矩形_9_SpCnt_8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7" name="矩形_16_SpCnt_84"/>
                  <wp:cNvGraphicFramePr/>
                  <a:graphic xmlns:a="http://schemas.openxmlformats.org/drawingml/2006/main">
                    <a:graphicData uri="http://schemas.openxmlformats.org/drawingml/2006/picture">
                      <pic:pic xmlns:pic="http://schemas.openxmlformats.org/drawingml/2006/picture">
                        <pic:nvPicPr>
                          <pic:cNvPr id="2207" name="矩形_16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0" name="矩形_3_SpCnt_85"/>
                  <wp:cNvGraphicFramePr/>
                  <a:graphic xmlns:a="http://schemas.openxmlformats.org/drawingml/2006/main">
                    <a:graphicData uri="http://schemas.openxmlformats.org/drawingml/2006/picture">
                      <pic:pic xmlns:pic="http://schemas.openxmlformats.org/drawingml/2006/picture">
                        <pic:nvPicPr>
                          <pic:cNvPr id="2210" name="矩形_3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5" name="矩形_16_SpCnt_85"/>
                  <wp:cNvGraphicFramePr/>
                  <a:graphic xmlns:a="http://schemas.openxmlformats.org/drawingml/2006/main">
                    <a:graphicData uri="http://schemas.openxmlformats.org/drawingml/2006/picture">
                      <pic:pic xmlns:pic="http://schemas.openxmlformats.org/drawingml/2006/picture">
                        <pic:nvPicPr>
                          <pic:cNvPr id="2195" name="矩形_16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2" name="矩形_3_SpCnt_86"/>
                  <wp:cNvGraphicFramePr/>
                  <a:graphic xmlns:a="http://schemas.openxmlformats.org/drawingml/2006/main">
                    <a:graphicData uri="http://schemas.openxmlformats.org/drawingml/2006/picture">
                      <pic:pic xmlns:pic="http://schemas.openxmlformats.org/drawingml/2006/picture">
                        <pic:nvPicPr>
                          <pic:cNvPr id="2182" name="矩形_3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4" name="矩形_4_SpCnt_84"/>
                  <wp:cNvGraphicFramePr/>
                  <a:graphic xmlns:a="http://schemas.openxmlformats.org/drawingml/2006/main">
                    <a:graphicData uri="http://schemas.openxmlformats.org/drawingml/2006/picture">
                      <pic:pic xmlns:pic="http://schemas.openxmlformats.org/drawingml/2006/picture">
                        <pic:nvPicPr>
                          <pic:cNvPr id="2194" name="矩形_4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2" name="矩形_3_SpCnt_87"/>
                  <wp:cNvGraphicFramePr/>
                  <a:graphic xmlns:a="http://schemas.openxmlformats.org/drawingml/2006/main">
                    <a:graphicData uri="http://schemas.openxmlformats.org/drawingml/2006/picture">
                      <pic:pic xmlns:pic="http://schemas.openxmlformats.org/drawingml/2006/picture">
                        <pic:nvPicPr>
                          <pic:cNvPr id="2192" name="矩形_3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0" name="矩形_3_SpCnt_88"/>
                  <wp:cNvGraphicFramePr/>
                  <a:graphic xmlns:a="http://schemas.openxmlformats.org/drawingml/2006/main">
                    <a:graphicData uri="http://schemas.openxmlformats.org/drawingml/2006/picture">
                      <pic:pic xmlns:pic="http://schemas.openxmlformats.org/drawingml/2006/picture">
                        <pic:nvPicPr>
                          <pic:cNvPr id="2200" name="矩形_3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6" name="矩形_17_SpCnt_84"/>
                  <wp:cNvGraphicFramePr/>
                  <a:graphic xmlns:a="http://schemas.openxmlformats.org/drawingml/2006/main">
                    <a:graphicData uri="http://schemas.openxmlformats.org/drawingml/2006/picture">
                      <pic:pic xmlns:pic="http://schemas.openxmlformats.org/drawingml/2006/picture">
                        <pic:nvPicPr>
                          <pic:cNvPr id="2186" name="矩形_17_SpCnt_8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1" name="矩形_4_SpCnt_85"/>
                  <wp:cNvGraphicFramePr/>
                  <a:graphic xmlns:a="http://schemas.openxmlformats.org/drawingml/2006/main">
                    <a:graphicData uri="http://schemas.openxmlformats.org/drawingml/2006/picture">
                      <pic:pic xmlns:pic="http://schemas.openxmlformats.org/drawingml/2006/picture">
                        <pic:nvPicPr>
                          <pic:cNvPr id="2211" name="矩形_4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0" name="矩形_17_SpCnt_85"/>
                  <wp:cNvGraphicFramePr/>
                  <a:graphic xmlns:a="http://schemas.openxmlformats.org/drawingml/2006/main">
                    <a:graphicData uri="http://schemas.openxmlformats.org/drawingml/2006/picture">
                      <pic:pic xmlns:pic="http://schemas.openxmlformats.org/drawingml/2006/picture">
                        <pic:nvPicPr>
                          <pic:cNvPr id="2190" name="矩形_17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3" name="矩形_6_SpCnt_86"/>
                  <wp:cNvGraphicFramePr/>
                  <a:graphic xmlns:a="http://schemas.openxmlformats.org/drawingml/2006/main">
                    <a:graphicData uri="http://schemas.openxmlformats.org/drawingml/2006/picture">
                      <pic:pic xmlns:pic="http://schemas.openxmlformats.org/drawingml/2006/picture">
                        <pic:nvPicPr>
                          <pic:cNvPr id="2183" name="矩形_6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0" name="矩形_4_SpCnt_86"/>
                  <wp:cNvGraphicFramePr/>
                  <a:graphic xmlns:a="http://schemas.openxmlformats.org/drawingml/2006/main">
                    <a:graphicData uri="http://schemas.openxmlformats.org/drawingml/2006/picture">
                      <pic:pic xmlns:pic="http://schemas.openxmlformats.org/drawingml/2006/picture">
                        <pic:nvPicPr>
                          <pic:cNvPr id="2180" name="矩形_4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1" name="矩形_6_SpCnt_87"/>
                  <wp:cNvGraphicFramePr/>
                  <a:graphic xmlns:a="http://schemas.openxmlformats.org/drawingml/2006/main">
                    <a:graphicData uri="http://schemas.openxmlformats.org/drawingml/2006/picture">
                      <pic:pic xmlns:pic="http://schemas.openxmlformats.org/drawingml/2006/picture">
                        <pic:nvPicPr>
                          <pic:cNvPr id="2181" name="矩形_6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9" name="矩形_16_SpCnt_86"/>
                  <wp:cNvGraphicFramePr/>
                  <a:graphic xmlns:a="http://schemas.openxmlformats.org/drawingml/2006/main">
                    <a:graphicData uri="http://schemas.openxmlformats.org/drawingml/2006/picture">
                      <pic:pic xmlns:pic="http://schemas.openxmlformats.org/drawingml/2006/picture">
                        <pic:nvPicPr>
                          <pic:cNvPr id="2199" name="矩形_16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7" name="矩形_16_SpCnt_87"/>
                  <wp:cNvGraphicFramePr/>
                  <a:graphic xmlns:a="http://schemas.openxmlformats.org/drawingml/2006/main">
                    <a:graphicData uri="http://schemas.openxmlformats.org/drawingml/2006/picture">
                      <pic:pic xmlns:pic="http://schemas.openxmlformats.org/drawingml/2006/picture">
                        <pic:nvPicPr>
                          <pic:cNvPr id="2187" name="矩形_16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89" name="矩形_4_SpCnt_87"/>
                  <wp:cNvGraphicFramePr/>
                  <a:graphic xmlns:a="http://schemas.openxmlformats.org/drawingml/2006/main">
                    <a:graphicData uri="http://schemas.openxmlformats.org/drawingml/2006/picture">
                      <pic:pic xmlns:pic="http://schemas.openxmlformats.org/drawingml/2006/picture">
                        <pic:nvPicPr>
                          <pic:cNvPr id="2189" name="矩形_4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01" name="矩形_9_SpCnt_84"/>
                  <wp:cNvGraphicFramePr/>
                  <a:graphic xmlns:a="http://schemas.openxmlformats.org/drawingml/2006/main">
                    <a:graphicData uri="http://schemas.openxmlformats.org/drawingml/2006/picture">
                      <pic:pic xmlns:pic="http://schemas.openxmlformats.org/drawingml/2006/picture">
                        <pic:nvPicPr>
                          <pic:cNvPr id="2201" name="矩形_9_SpCnt_8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3" name="矩形_9_SpCnt_85"/>
                  <wp:cNvGraphicFramePr/>
                  <a:graphic xmlns:a="http://schemas.openxmlformats.org/drawingml/2006/main">
                    <a:graphicData uri="http://schemas.openxmlformats.org/drawingml/2006/picture">
                      <pic:pic xmlns:pic="http://schemas.openxmlformats.org/drawingml/2006/picture">
                        <pic:nvPicPr>
                          <pic:cNvPr id="2193" name="矩形_9_SpCnt_8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196" name="矩形_3_SpCnt_89"/>
                  <wp:cNvGraphicFramePr/>
                  <a:graphic xmlns:a="http://schemas.openxmlformats.org/drawingml/2006/main">
                    <a:graphicData uri="http://schemas.openxmlformats.org/drawingml/2006/picture">
                      <pic:pic xmlns:pic="http://schemas.openxmlformats.org/drawingml/2006/picture">
                        <pic:nvPicPr>
                          <pic:cNvPr id="2196" name="矩形_3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2" name="矩形_9_SpCnt_86"/>
                  <wp:cNvGraphicFramePr/>
                  <a:graphic xmlns:a="http://schemas.openxmlformats.org/drawingml/2006/main">
                    <a:graphicData uri="http://schemas.openxmlformats.org/drawingml/2006/picture">
                      <pic:pic xmlns:pic="http://schemas.openxmlformats.org/drawingml/2006/picture">
                        <pic:nvPicPr>
                          <pic:cNvPr id="2202" name="矩形_9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3" name="矩形_4_SpCnt_88"/>
                  <wp:cNvGraphicFramePr/>
                  <a:graphic xmlns:a="http://schemas.openxmlformats.org/drawingml/2006/main">
                    <a:graphicData uri="http://schemas.openxmlformats.org/drawingml/2006/picture">
                      <pic:pic xmlns:pic="http://schemas.openxmlformats.org/drawingml/2006/picture">
                        <pic:nvPicPr>
                          <pic:cNvPr id="2203" name="矩形_4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4" name="矩形_16_SpCnt_88"/>
                  <wp:cNvGraphicFramePr/>
                  <a:graphic xmlns:a="http://schemas.openxmlformats.org/drawingml/2006/main">
                    <a:graphicData uri="http://schemas.openxmlformats.org/drawingml/2006/picture">
                      <pic:pic xmlns:pic="http://schemas.openxmlformats.org/drawingml/2006/picture">
                        <pic:nvPicPr>
                          <pic:cNvPr id="2204" name="矩形_16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5" name="矩形_6_SpCnt_88"/>
                  <wp:cNvGraphicFramePr/>
                  <a:graphic xmlns:a="http://schemas.openxmlformats.org/drawingml/2006/main">
                    <a:graphicData uri="http://schemas.openxmlformats.org/drawingml/2006/picture">
                      <pic:pic xmlns:pic="http://schemas.openxmlformats.org/drawingml/2006/picture">
                        <pic:nvPicPr>
                          <pic:cNvPr id="2205" name="矩形_6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06" name="矩形_9_SpCnt_87"/>
                  <wp:cNvGraphicFramePr/>
                  <a:graphic xmlns:a="http://schemas.openxmlformats.org/drawingml/2006/main">
                    <a:graphicData uri="http://schemas.openxmlformats.org/drawingml/2006/picture">
                      <pic:pic xmlns:pic="http://schemas.openxmlformats.org/drawingml/2006/picture">
                        <pic:nvPicPr>
                          <pic:cNvPr id="2206" name="矩形_9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5" name="矩形_6_SpCnt_89"/>
                  <wp:cNvGraphicFramePr/>
                  <a:graphic xmlns:a="http://schemas.openxmlformats.org/drawingml/2006/main">
                    <a:graphicData uri="http://schemas.openxmlformats.org/drawingml/2006/picture">
                      <pic:pic xmlns:pic="http://schemas.openxmlformats.org/drawingml/2006/picture">
                        <pic:nvPicPr>
                          <pic:cNvPr id="2215" name="矩形_6_SpCnt_89"/>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6" name="矩形_4_SpCnt_89"/>
                  <wp:cNvGraphicFramePr/>
                  <a:graphic xmlns:a="http://schemas.openxmlformats.org/drawingml/2006/main">
                    <a:graphicData uri="http://schemas.openxmlformats.org/drawingml/2006/picture">
                      <pic:pic xmlns:pic="http://schemas.openxmlformats.org/drawingml/2006/picture">
                        <pic:nvPicPr>
                          <pic:cNvPr id="2216" name="矩形_4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1" name="矩形_16_SpCnt_89"/>
                  <wp:cNvGraphicFramePr/>
                  <a:graphic xmlns:a="http://schemas.openxmlformats.org/drawingml/2006/main">
                    <a:graphicData uri="http://schemas.openxmlformats.org/drawingml/2006/picture">
                      <pic:pic xmlns:pic="http://schemas.openxmlformats.org/drawingml/2006/picture">
                        <pic:nvPicPr>
                          <pic:cNvPr id="2231" name="矩形_16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6" name="矩形_17_SpCnt_86"/>
                  <wp:cNvGraphicFramePr/>
                  <a:graphic xmlns:a="http://schemas.openxmlformats.org/drawingml/2006/main">
                    <a:graphicData uri="http://schemas.openxmlformats.org/drawingml/2006/picture">
                      <pic:pic xmlns:pic="http://schemas.openxmlformats.org/drawingml/2006/picture">
                        <pic:nvPicPr>
                          <pic:cNvPr id="2226" name="矩形_17_SpCnt_8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0" name="矩形_6_SpCnt_90"/>
                  <wp:cNvGraphicFramePr/>
                  <a:graphic xmlns:a="http://schemas.openxmlformats.org/drawingml/2006/main">
                    <a:graphicData uri="http://schemas.openxmlformats.org/drawingml/2006/picture">
                      <pic:pic xmlns:pic="http://schemas.openxmlformats.org/drawingml/2006/picture">
                        <pic:nvPicPr>
                          <pic:cNvPr id="2240" name="矩形_6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5" name="矩形_16_SpCnt_90"/>
                  <wp:cNvGraphicFramePr/>
                  <a:graphic xmlns:a="http://schemas.openxmlformats.org/drawingml/2006/main">
                    <a:graphicData uri="http://schemas.openxmlformats.org/drawingml/2006/picture">
                      <pic:pic xmlns:pic="http://schemas.openxmlformats.org/drawingml/2006/picture">
                        <pic:nvPicPr>
                          <pic:cNvPr id="2225" name="矩形_16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43" name="矩形_3_SpCnt_90"/>
                  <wp:cNvGraphicFramePr/>
                  <a:graphic xmlns:a="http://schemas.openxmlformats.org/drawingml/2006/main">
                    <a:graphicData uri="http://schemas.openxmlformats.org/drawingml/2006/picture">
                      <pic:pic xmlns:pic="http://schemas.openxmlformats.org/drawingml/2006/picture">
                        <pic:nvPicPr>
                          <pic:cNvPr id="2243" name="矩形_3_SpCnt_90"/>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0" name="矩形_17_SpCnt_87"/>
                  <wp:cNvGraphicFramePr/>
                  <a:graphic xmlns:a="http://schemas.openxmlformats.org/drawingml/2006/main">
                    <a:graphicData uri="http://schemas.openxmlformats.org/drawingml/2006/picture">
                      <pic:pic xmlns:pic="http://schemas.openxmlformats.org/drawingml/2006/picture">
                        <pic:nvPicPr>
                          <pic:cNvPr id="2230" name="矩形_17_SpCnt_8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41" name="矩形_16_SpCnt_91"/>
                  <wp:cNvGraphicFramePr/>
                  <a:graphic xmlns:a="http://schemas.openxmlformats.org/drawingml/2006/main">
                    <a:graphicData uri="http://schemas.openxmlformats.org/drawingml/2006/picture">
                      <pic:pic xmlns:pic="http://schemas.openxmlformats.org/drawingml/2006/picture">
                        <pic:nvPicPr>
                          <pic:cNvPr id="2241" name="矩形_16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7" name="矩形_17_SpCnt_88"/>
                  <wp:cNvGraphicFramePr/>
                  <a:graphic xmlns:a="http://schemas.openxmlformats.org/drawingml/2006/main">
                    <a:graphicData uri="http://schemas.openxmlformats.org/drawingml/2006/picture">
                      <pic:pic xmlns:pic="http://schemas.openxmlformats.org/drawingml/2006/picture">
                        <pic:nvPicPr>
                          <pic:cNvPr id="2237" name="矩形_17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27" name="矩形_6_SpCnt_91"/>
                  <wp:cNvGraphicFramePr/>
                  <a:graphic xmlns:a="http://schemas.openxmlformats.org/drawingml/2006/main">
                    <a:graphicData uri="http://schemas.openxmlformats.org/drawingml/2006/picture">
                      <pic:pic xmlns:pic="http://schemas.openxmlformats.org/drawingml/2006/picture">
                        <pic:nvPicPr>
                          <pic:cNvPr id="2227" name="矩形_6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8" name="矩形_4_SpCnt_90"/>
                  <wp:cNvGraphicFramePr/>
                  <a:graphic xmlns:a="http://schemas.openxmlformats.org/drawingml/2006/main">
                    <a:graphicData uri="http://schemas.openxmlformats.org/drawingml/2006/picture">
                      <pic:pic xmlns:pic="http://schemas.openxmlformats.org/drawingml/2006/picture">
                        <pic:nvPicPr>
                          <pic:cNvPr id="2228" name="矩形_4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9" name="矩形_17_SpCnt_89"/>
                  <wp:cNvGraphicFramePr/>
                  <a:graphic xmlns:a="http://schemas.openxmlformats.org/drawingml/2006/main">
                    <a:graphicData uri="http://schemas.openxmlformats.org/drawingml/2006/picture">
                      <pic:pic xmlns:pic="http://schemas.openxmlformats.org/drawingml/2006/picture">
                        <pic:nvPicPr>
                          <pic:cNvPr id="2229" name="矩形_17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2" name="矩形_6_SpCnt_92"/>
                  <wp:cNvGraphicFramePr/>
                  <a:graphic xmlns:a="http://schemas.openxmlformats.org/drawingml/2006/main">
                    <a:graphicData uri="http://schemas.openxmlformats.org/drawingml/2006/picture">
                      <pic:pic xmlns:pic="http://schemas.openxmlformats.org/drawingml/2006/picture">
                        <pic:nvPicPr>
                          <pic:cNvPr id="2242" name="矩形_6_SpCnt_9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7" name="矩形_16_SpCnt_92"/>
                  <wp:cNvGraphicFramePr/>
                  <a:graphic xmlns:a="http://schemas.openxmlformats.org/drawingml/2006/main">
                    <a:graphicData uri="http://schemas.openxmlformats.org/drawingml/2006/picture">
                      <pic:pic xmlns:pic="http://schemas.openxmlformats.org/drawingml/2006/picture">
                        <pic:nvPicPr>
                          <pic:cNvPr id="2217" name="矩形_16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2" name="矩形_16_SpCnt_93"/>
                  <wp:cNvGraphicFramePr/>
                  <a:graphic xmlns:a="http://schemas.openxmlformats.org/drawingml/2006/main">
                    <a:graphicData uri="http://schemas.openxmlformats.org/drawingml/2006/picture">
                      <pic:pic xmlns:pic="http://schemas.openxmlformats.org/drawingml/2006/picture">
                        <pic:nvPicPr>
                          <pic:cNvPr id="2232" name="矩形_16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9" name="矩形_16_SpCnt_94"/>
                  <wp:cNvGraphicFramePr/>
                  <a:graphic xmlns:a="http://schemas.openxmlformats.org/drawingml/2006/main">
                    <a:graphicData uri="http://schemas.openxmlformats.org/drawingml/2006/picture">
                      <pic:pic xmlns:pic="http://schemas.openxmlformats.org/drawingml/2006/picture">
                        <pic:nvPicPr>
                          <pic:cNvPr id="2239" name="矩形_16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6" name="矩形_17_SpCnt_90"/>
                  <wp:cNvGraphicFramePr/>
                  <a:graphic xmlns:a="http://schemas.openxmlformats.org/drawingml/2006/main">
                    <a:graphicData uri="http://schemas.openxmlformats.org/drawingml/2006/picture">
                      <pic:pic xmlns:pic="http://schemas.openxmlformats.org/drawingml/2006/picture">
                        <pic:nvPicPr>
                          <pic:cNvPr id="2236" name="矩形_17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8" name="矩形_4_SpCnt_91"/>
                  <wp:cNvGraphicFramePr/>
                  <a:graphic xmlns:a="http://schemas.openxmlformats.org/drawingml/2006/main">
                    <a:graphicData uri="http://schemas.openxmlformats.org/drawingml/2006/picture">
                      <pic:pic xmlns:pic="http://schemas.openxmlformats.org/drawingml/2006/picture">
                        <pic:nvPicPr>
                          <pic:cNvPr id="2218" name="矩形_4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9" name="矩形_6_SpCnt_93"/>
                  <wp:cNvGraphicFramePr/>
                  <a:graphic xmlns:a="http://schemas.openxmlformats.org/drawingml/2006/main">
                    <a:graphicData uri="http://schemas.openxmlformats.org/drawingml/2006/picture">
                      <pic:pic xmlns:pic="http://schemas.openxmlformats.org/drawingml/2006/picture">
                        <pic:nvPicPr>
                          <pic:cNvPr id="2219" name="矩形_6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12" name="矩形_3_SpCnt_91"/>
                  <wp:cNvGraphicFramePr/>
                  <a:graphic xmlns:a="http://schemas.openxmlformats.org/drawingml/2006/main">
                    <a:graphicData uri="http://schemas.openxmlformats.org/drawingml/2006/picture">
                      <pic:pic xmlns:pic="http://schemas.openxmlformats.org/drawingml/2006/picture">
                        <pic:nvPicPr>
                          <pic:cNvPr id="2212" name="矩形_3_SpCnt_9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3" name="矩形_17_SpCnt_91"/>
                  <wp:cNvGraphicFramePr/>
                  <a:graphic xmlns:a="http://schemas.openxmlformats.org/drawingml/2006/main">
                    <a:graphicData uri="http://schemas.openxmlformats.org/drawingml/2006/picture">
                      <pic:pic xmlns:pic="http://schemas.openxmlformats.org/drawingml/2006/picture">
                        <pic:nvPicPr>
                          <pic:cNvPr id="2213" name="矩形_17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0" name="矩形_4_SpCnt_92"/>
                  <wp:cNvGraphicFramePr/>
                  <a:graphic xmlns:a="http://schemas.openxmlformats.org/drawingml/2006/main">
                    <a:graphicData uri="http://schemas.openxmlformats.org/drawingml/2006/picture">
                      <pic:pic xmlns:pic="http://schemas.openxmlformats.org/drawingml/2006/picture">
                        <pic:nvPicPr>
                          <pic:cNvPr id="2220" name="矩形_4_SpCnt_9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4" name="矩形_9_SpCnt_88"/>
                  <wp:cNvGraphicFramePr/>
                  <a:graphic xmlns:a="http://schemas.openxmlformats.org/drawingml/2006/main">
                    <a:graphicData uri="http://schemas.openxmlformats.org/drawingml/2006/picture">
                      <pic:pic xmlns:pic="http://schemas.openxmlformats.org/drawingml/2006/picture">
                        <pic:nvPicPr>
                          <pic:cNvPr id="2234" name="矩形_9_SpCnt_8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33" name="矩形_16_SpCnt_95"/>
                  <wp:cNvGraphicFramePr/>
                  <a:graphic xmlns:a="http://schemas.openxmlformats.org/drawingml/2006/main">
                    <a:graphicData uri="http://schemas.openxmlformats.org/drawingml/2006/picture">
                      <pic:pic xmlns:pic="http://schemas.openxmlformats.org/drawingml/2006/picture">
                        <pic:nvPicPr>
                          <pic:cNvPr id="2233" name="矩形_16_SpCnt_9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38" name="矩形_3_SpCnt_92"/>
                  <wp:cNvGraphicFramePr/>
                  <a:graphic xmlns:a="http://schemas.openxmlformats.org/drawingml/2006/main">
                    <a:graphicData uri="http://schemas.openxmlformats.org/drawingml/2006/picture">
                      <pic:pic xmlns:pic="http://schemas.openxmlformats.org/drawingml/2006/picture">
                        <pic:nvPicPr>
                          <pic:cNvPr id="2238" name="矩形_3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14" name="矩形_17_SpCnt_92"/>
                  <wp:cNvGraphicFramePr/>
                  <a:graphic xmlns:a="http://schemas.openxmlformats.org/drawingml/2006/main">
                    <a:graphicData uri="http://schemas.openxmlformats.org/drawingml/2006/picture">
                      <pic:pic xmlns:pic="http://schemas.openxmlformats.org/drawingml/2006/picture">
                        <pic:nvPicPr>
                          <pic:cNvPr id="2214" name="矩形_17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35" name="矩形_4_SpCnt_93"/>
                  <wp:cNvGraphicFramePr/>
                  <a:graphic xmlns:a="http://schemas.openxmlformats.org/drawingml/2006/main">
                    <a:graphicData uri="http://schemas.openxmlformats.org/drawingml/2006/picture">
                      <pic:pic xmlns:pic="http://schemas.openxmlformats.org/drawingml/2006/picture">
                        <pic:nvPicPr>
                          <pic:cNvPr id="2235" name="矩形_4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1" name="矩形_9_SpCnt_89"/>
                  <wp:cNvGraphicFramePr/>
                  <a:graphic xmlns:a="http://schemas.openxmlformats.org/drawingml/2006/main">
                    <a:graphicData uri="http://schemas.openxmlformats.org/drawingml/2006/picture">
                      <pic:pic xmlns:pic="http://schemas.openxmlformats.org/drawingml/2006/picture">
                        <pic:nvPicPr>
                          <pic:cNvPr id="2221" name="矩形_9_SpCnt_8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2" name="矩形_16_SpCnt_96"/>
                  <wp:cNvGraphicFramePr/>
                  <a:graphic xmlns:a="http://schemas.openxmlformats.org/drawingml/2006/main">
                    <a:graphicData uri="http://schemas.openxmlformats.org/drawingml/2006/picture">
                      <pic:pic xmlns:pic="http://schemas.openxmlformats.org/drawingml/2006/picture">
                        <pic:nvPicPr>
                          <pic:cNvPr id="2222" name="矩形_16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23" name="矩形_6_SpCnt_94"/>
                  <wp:cNvGraphicFramePr/>
                  <a:graphic xmlns:a="http://schemas.openxmlformats.org/drawingml/2006/main">
                    <a:graphicData uri="http://schemas.openxmlformats.org/drawingml/2006/picture">
                      <pic:pic xmlns:pic="http://schemas.openxmlformats.org/drawingml/2006/picture">
                        <pic:nvPicPr>
                          <pic:cNvPr id="2223" name="矩形_6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24" name="矩形_17_SpCnt_93"/>
                  <wp:cNvGraphicFramePr/>
                  <a:graphic xmlns:a="http://schemas.openxmlformats.org/drawingml/2006/main">
                    <a:graphicData uri="http://schemas.openxmlformats.org/drawingml/2006/picture">
                      <pic:pic xmlns:pic="http://schemas.openxmlformats.org/drawingml/2006/picture">
                        <pic:nvPicPr>
                          <pic:cNvPr id="2224" name="矩形_17_SpCnt_9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1" name="矩形_17_SpCnt_94"/>
                  <wp:cNvGraphicFramePr/>
                  <a:graphic xmlns:a="http://schemas.openxmlformats.org/drawingml/2006/main">
                    <a:graphicData uri="http://schemas.openxmlformats.org/drawingml/2006/picture">
                      <pic:pic xmlns:pic="http://schemas.openxmlformats.org/drawingml/2006/picture">
                        <pic:nvPicPr>
                          <pic:cNvPr id="2261" name="矩形_17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6" name="矩形_17_SpCnt_95"/>
                  <wp:cNvGraphicFramePr/>
                  <a:graphic xmlns:a="http://schemas.openxmlformats.org/drawingml/2006/main">
                    <a:graphicData uri="http://schemas.openxmlformats.org/drawingml/2006/picture">
                      <pic:pic xmlns:pic="http://schemas.openxmlformats.org/drawingml/2006/picture">
                        <pic:nvPicPr>
                          <pic:cNvPr id="2256" name="矩形_17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7" name="矩形_3_SpCnt_93"/>
                  <wp:cNvGraphicFramePr/>
                  <a:graphic xmlns:a="http://schemas.openxmlformats.org/drawingml/2006/main">
                    <a:graphicData uri="http://schemas.openxmlformats.org/drawingml/2006/picture">
                      <pic:pic xmlns:pic="http://schemas.openxmlformats.org/drawingml/2006/picture">
                        <pic:nvPicPr>
                          <pic:cNvPr id="2267" name="矩形_3_SpCnt_9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5" name="矩形_4_SpCnt_94"/>
                  <wp:cNvGraphicFramePr/>
                  <a:graphic xmlns:a="http://schemas.openxmlformats.org/drawingml/2006/main">
                    <a:graphicData uri="http://schemas.openxmlformats.org/drawingml/2006/picture">
                      <pic:pic xmlns:pic="http://schemas.openxmlformats.org/drawingml/2006/picture">
                        <pic:nvPicPr>
                          <pic:cNvPr id="2255" name="矩形_4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9" name="矩形_9_SpCnt_90"/>
                  <wp:cNvGraphicFramePr/>
                  <a:graphic xmlns:a="http://schemas.openxmlformats.org/drawingml/2006/main">
                    <a:graphicData uri="http://schemas.openxmlformats.org/drawingml/2006/picture">
                      <pic:pic xmlns:pic="http://schemas.openxmlformats.org/drawingml/2006/picture">
                        <pic:nvPicPr>
                          <pic:cNvPr id="2249" name="矩形_9_SpCnt_9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5" name="矩形_17_SpCnt_96"/>
                  <wp:cNvGraphicFramePr/>
                  <a:graphic xmlns:a="http://schemas.openxmlformats.org/drawingml/2006/main">
                    <a:graphicData uri="http://schemas.openxmlformats.org/drawingml/2006/picture">
                      <pic:pic xmlns:pic="http://schemas.openxmlformats.org/drawingml/2006/picture">
                        <pic:nvPicPr>
                          <pic:cNvPr id="2275" name="矩形_17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8" name="矩形_17_SpCnt_97"/>
                  <wp:cNvGraphicFramePr/>
                  <a:graphic xmlns:a="http://schemas.openxmlformats.org/drawingml/2006/main">
                    <a:graphicData uri="http://schemas.openxmlformats.org/drawingml/2006/picture">
                      <pic:pic xmlns:pic="http://schemas.openxmlformats.org/drawingml/2006/picture">
                        <pic:nvPicPr>
                          <pic:cNvPr id="2268" name="矩形_17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65" name="矩形_9_SpCnt_91"/>
                  <wp:cNvGraphicFramePr/>
                  <a:graphic xmlns:a="http://schemas.openxmlformats.org/drawingml/2006/main">
                    <a:graphicData uri="http://schemas.openxmlformats.org/drawingml/2006/picture">
                      <pic:pic xmlns:pic="http://schemas.openxmlformats.org/drawingml/2006/picture">
                        <pic:nvPicPr>
                          <pic:cNvPr id="2265" name="矩形_9_SpCnt_9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66" name="矩形_9_SpCnt_92"/>
                  <wp:cNvGraphicFramePr/>
                  <a:graphic xmlns:a="http://schemas.openxmlformats.org/drawingml/2006/main">
                    <a:graphicData uri="http://schemas.openxmlformats.org/drawingml/2006/picture">
                      <pic:pic xmlns:pic="http://schemas.openxmlformats.org/drawingml/2006/picture">
                        <pic:nvPicPr>
                          <pic:cNvPr id="2266" name="矩形_9_SpCnt_9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69" name="矩形_3_SpCnt_94"/>
                  <wp:cNvGraphicFramePr/>
                  <a:graphic xmlns:a="http://schemas.openxmlformats.org/drawingml/2006/main">
                    <a:graphicData uri="http://schemas.openxmlformats.org/drawingml/2006/picture">
                      <pic:pic xmlns:pic="http://schemas.openxmlformats.org/drawingml/2006/picture">
                        <pic:nvPicPr>
                          <pic:cNvPr id="2269" name="矩形_3_SpCnt_9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44" name="矩形_4_SpCnt_95"/>
                  <wp:cNvGraphicFramePr/>
                  <a:graphic xmlns:a="http://schemas.openxmlformats.org/drawingml/2006/main">
                    <a:graphicData uri="http://schemas.openxmlformats.org/drawingml/2006/picture">
                      <pic:pic xmlns:pic="http://schemas.openxmlformats.org/drawingml/2006/picture">
                        <pic:nvPicPr>
                          <pic:cNvPr id="2244" name="矩形_4_SpCnt_9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7" name="矩形_6_SpCnt_95"/>
                  <wp:cNvGraphicFramePr/>
                  <a:graphic xmlns:a="http://schemas.openxmlformats.org/drawingml/2006/main">
                    <a:graphicData uri="http://schemas.openxmlformats.org/drawingml/2006/picture">
                      <pic:pic xmlns:pic="http://schemas.openxmlformats.org/drawingml/2006/picture">
                        <pic:nvPicPr>
                          <pic:cNvPr id="2257" name="矩形_6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0" name="矩形_4_SpCnt_96"/>
                  <wp:cNvGraphicFramePr/>
                  <a:graphic xmlns:a="http://schemas.openxmlformats.org/drawingml/2006/main">
                    <a:graphicData uri="http://schemas.openxmlformats.org/drawingml/2006/picture">
                      <pic:pic xmlns:pic="http://schemas.openxmlformats.org/drawingml/2006/picture">
                        <pic:nvPicPr>
                          <pic:cNvPr id="2270" name="矩形_4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71" name="矩形_4_SpCnt_97"/>
                  <wp:cNvGraphicFramePr/>
                  <a:graphic xmlns:a="http://schemas.openxmlformats.org/drawingml/2006/main">
                    <a:graphicData uri="http://schemas.openxmlformats.org/drawingml/2006/picture">
                      <pic:pic xmlns:pic="http://schemas.openxmlformats.org/drawingml/2006/picture">
                        <pic:nvPicPr>
                          <pic:cNvPr id="2271" name="矩形_4_SpCnt_9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2" name="矩形_3_SpCnt_95"/>
                  <wp:cNvGraphicFramePr/>
                  <a:graphic xmlns:a="http://schemas.openxmlformats.org/drawingml/2006/main">
                    <a:graphicData uri="http://schemas.openxmlformats.org/drawingml/2006/picture">
                      <pic:pic xmlns:pic="http://schemas.openxmlformats.org/drawingml/2006/picture">
                        <pic:nvPicPr>
                          <pic:cNvPr id="2262" name="矩形_3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72" name="矩形_9_SpCnt_93"/>
                  <wp:cNvGraphicFramePr/>
                  <a:graphic xmlns:a="http://schemas.openxmlformats.org/drawingml/2006/main">
                    <a:graphicData uri="http://schemas.openxmlformats.org/drawingml/2006/picture">
                      <pic:pic xmlns:pic="http://schemas.openxmlformats.org/drawingml/2006/picture">
                        <pic:nvPicPr>
                          <pic:cNvPr id="2272" name="矩形_9_SpCnt_9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3" name="矩形_17_SpCnt_98"/>
                  <wp:cNvGraphicFramePr/>
                  <a:graphic xmlns:a="http://schemas.openxmlformats.org/drawingml/2006/main">
                    <a:graphicData uri="http://schemas.openxmlformats.org/drawingml/2006/picture">
                      <pic:pic xmlns:pic="http://schemas.openxmlformats.org/drawingml/2006/picture">
                        <pic:nvPicPr>
                          <pic:cNvPr id="2273" name="矩形_17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8" name="矩形_6_SpCnt_96"/>
                  <wp:cNvGraphicFramePr/>
                  <a:graphic xmlns:a="http://schemas.openxmlformats.org/drawingml/2006/main">
                    <a:graphicData uri="http://schemas.openxmlformats.org/drawingml/2006/picture">
                      <pic:pic xmlns:pic="http://schemas.openxmlformats.org/drawingml/2006/picture">
                        <pic:nvPicPr>
                          <pic:cNvPr id="2258" name="矩形_6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4" name="矩形_9_SpCnt_94"/>
                  <wp:cNvGraphicFramePr/>
                  <a:graphic xmlns:a="http://schemas.openxmlformats.org/drawingml/2006/main">
                    <a:graphicData uri="http://schemas.openxmlformats.org/drawingml/2006/picture">
                      <pic:pic xmlns:pic="http://schemas.openxmlformats.org/drawingml/2006/picture">
                        <pic:nvPicPr>
                          <pic:cNvPr id="2274" name="矩形_9_SpCnt_9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59" name="矩形_4_SpCnt_98"/>
                  <wp:cNvGraphicFramePr/>
                  <a:graphic xmlns:a="http://schemas.openxmlformats.org/drawingml/2006/main">
                    <a:graphicData uri="http://schemas.openxmlformats.org/drawingml/2006/picture">
                      <pic:pic xmlns:pic="http://schemas.openxmlformats.org/drawingml/2006/picture">
                        <pic:nvPicPr>
                          <pic:cNvPr id="2259" name="矩形_4_SpCnt_9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54" name="矩形_17_SpCnt_99"/>
                  <wp:cNvGraphicFramePr/>
                  <a:graphic xmlns:a="http://schemas.openxmlformats.org/drawingml/2006/main">
                    <a:graphicData uri="http://schemas.openxmlformats.org/drawingml/2006/picture">
                      <pic:pic xmlns:pic="http://schemas.openxmlformats.org/drawingml/2006/picture">
                        <pic:nvPicPr>
                          <pic:cNvPr id="2254" name="矩形_17_SpCnt_99"/>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5" name="矩形_3_SpCnt_96"/>
                  <wp:cNvGraphicFramePr/>
                  <a:graphic xmlns:a="http://schemas.openxmlformats.org/drawingml/2006/main">
                    <a:graphicData uri="http://schemas.openxmlformats.org/drawingml/2006/picture">
                      <pic:pic xmlns:pic="http://schemas.openxmlformats.org/drawingml/2006/picture">
                        <pic:nvPicPr>
                          <pic:cNvPr id="2245" name="矩形_3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6" name="矩形_6_SpCnt_97"/>
                  <wp:cNvGraphicFramePr/>
                  <a:graphic xmlns:a="http://schemas.openxmlformats.org/drawingml/2006/main">
                    <a:graphicData uri="http://schemas.openxmlformats.org/drawingml/2006/picture">
                      <pic:pic xmlns:pic="http://schemas.openxmlformats.org/drawingml/2006/picture">
                        <pic:nvPicPr>
                          <pic:cNvPr id="2246" name="矩形_6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7" name="矩形_17_SpCnt_100"/>
                  <wp:cNvGraphicFramePr/>
                  <a:graphic xmlns:a="http://schemas.openxmlformats.org/drawingml/2006/main">
                    <a:graphicData uri="http://schemas.openxmlformats.org/drawingml/2006/picture">
                      <pic:pic xmlns:pic="http://schemas.openxmlformats.org/drawingml/2006/picture">
                        <pic:nvPicPr>
                          <pic:cNvPr id="2247" name="矩形_17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48" name="矩形_16_SpCnt_97"/>
                  <wp:cNvGraphicFramePr/>
                  <a:graphic xmlns:a="http://schemas.openxmlformats.org/drawingml/2006/main">
                    <a:graphicData uri="http://schemas.openxmlformats.org/drawingml/2006/picture">
                      <pic:pic xmlns:pic="http://schemas.openxmlformats.org/drawingml/2006/picture">
                        <pic:nvPicPr>
                          <pic:cNvPr id="2248" name="矩形_16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0" name="矩形_9_SpCnt_95"/>
                  <wp:cNvGraphicFramePr/>
                  <a:graphic xmlns:a="http://schemas.openxmlformats.org/drawingml/2006/main">
                    <a:graphicData uri="http://schemas.openxmlformats.org/drawingml/2006/picture">
                      <pic:pic xmlns:pic="http://schemas.openxmlformats.org/drawingml/2006/picture">
                        <pic:nvPicPr>
                          <pic:cNvPr id="2250" name="矩形_9_SpCnt_9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251" name="矩形_3_SpCnt_97"/>
                  <wp:cNvGraphicFramePr/>
                  <a:graphic xmlns:a="http://schemas.openxmlformats.org/drawingml/2006/main">
                    <a:graphicData uri="http://schemas.openxmlformats.org/drawingml/2006/picture">
                      <pic:pic xmlns:pic="http://schemas.openxmlformats.org/drawingml/2006/picture">
                        <pic:nvPicPr>
                          <pic:cNvPr id="2251" name="矩形_3_SpCnt_9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2" name="矩形_3_SpCnt_98"/>
                  <wp:cNvGraphicFramePr/>
                  <a:graphic xmlns:a="http://schemas.openxmlformats.org/drawingml/2006/main">
                    <a:graphicData uri="http://schemas.openxmlformats.org/drawingml/2006/picture">
                      <pic:pic xmlns:pic="http://schemas.openxmlformats.org/drawingml/2006/picture">
                        <pic:nvPicPr>
                          <pic:cNvPr id="2252" name="矩形_3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4" name="矩形_17_SpCnt_101"/>
                  <wp:cNvGraphicFramePr/>
                  <a:graphic xmlns:a="http://schemas.openxmlformats.org/drawingml/2006/main">
                    <a:graphicData uri="http://schemas.openxmlformats.org/drawingml/2006/picture">
                      <pic:pic xmlns:pic="http://schemas.openxmlformats.org/drawingml/2006/picture">
                        <pic:nvPicPr>
                          <pic:cNvPr id="2264" name="矩形_17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53" name="矩形_4_SpCnt_99"/>
                  <wp:cNvGraphicFramePr/>
                  <a:graphic xmlns:a="http://schemas.openxmlformats.org/drawingml/2006/main">
                    <a:graphicData uri="http://schemas.openxmlformats.org/drawingml/2006/picture">
                      <pic:pic xmlns:pic="http://schemas.openxmlformats.org/drawingml/2006/picture">
                        <pic:nvPicPr>
                          <pic:cNvPr id="2253" name="矩形_4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0" name="矩形_4_SpCnt_100"/>
                  <wp:cNvGraphicFramePr/>
                  <a:graphic xmlns:a="http://schemas.openxmlformats.org/drawingml/2006/main">
                    <a:graphicData uri="http://schemas.openxmlformats.org/drawingml/2006/picture">
                      <pic:pic xmlns:pic="http://schemas.openxmlformats.org/drawingml/2006/picture">
                        <pic:nvPicPr>
                          <pic:cNvPr id="2260" name="矩形_4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63" name="矩形_16_SpCnt_98"/>
                  <wp:cNvGraphicFramePr/>
                  <a:graphic xmlns:a="http://schemas.openxmlformats.org/drawingml/2006/main">
                    <a:graphicData uri="http://schemas.openxmlformats.org/drawingml/2006/picture">
                      <pic:pic xmlns:pic="http://schemas.openxmlformats.org/drawingml/2006/picture">
                        <pic:nvPicPr>
                          <pic:cNvPr id="2263" name="矩形_16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5" name="矩形_9_SpCnt_96"/>
                  <wp:cNvGraphicFramePr/>
                  <a:graphic xmlns:a="http://schemas.openxmlformats.org/drawingml/2006/main">
                    <a:graphicData uri="http://schemas.openxmlformats.org/drawingml/2006/picture">
                      <pic:pic xmlns:pic="http://schemas.openxmlformats.org/drawingml/2006/picture">
                        <pic:nvPicPr>
                          <pic:cNvPr id="2305" name="矩形_9_SpCnt_9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6" name="矩形_4_SpCnt_101"/>
                  <wp:cNvGraphicFramePr/>
                  <a:graphic xmlns:a="http://schemas.openxmlformats.org/drawingml/2006/main">
                    <a:graphicData uri="http://schemas.openxmlformats.org/drawingml/2006/picture">
                      <pic:pic xmlns:pic="http://schemas.openxmlformats.org/drawingml/2006/picture">
                        <pic:nvPicPr>
                          <pic:cNvPr id="2306" name="矩形_4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0" name="矩形_17_SpCnt_102"/>
                  <wp:cNvGraphicFramePr/>
                  <a:graphic xmlns:a="http://schemas.openxmlformats.org/drawingml/2006/main">
                    <a:graphicData uri="http://schemas.openxmlformats.org/drawingml/2006/picture">
                      <pic:pic xmlns:pic="http://schemas.openxmlformats.org/drawingml/2006/picture">
                        <pic:nvPicPr>
                          <pic:cNvPr id="2300" name="矩形_17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0" name="矩形_16_SpCnt_99"/>
                  <wp:cNvGraphicFramePr/>
                  <a:graphic xmlns:a="http://schemas.openxmlformats.org/drawingml/2006/main">
                    <a:graphicData uri="http://schemas.openxmlformats.org/drawingml/2006/picture">
                      <pic:pic xmlns:pic="http://schemas.openxmlformats.org/drawingml/2006/picture">
                        <pic:nvPicPr>
                          <pic:cNvPr id="2280" name="矩形_16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5" name="矩形_4_SpCnt_102"/>
                  <wp:cNvGraphicFramePr/>
                  <a:graphic xmlns:a="http://schemas.openxmlformats.org/drawingml/2006/main">
                    <a:graphicData uri="http://schemas.openxmlformats.org/drawingml/2006/picture">
                      <pic:pic xmlns:pic="http://schemas.openxmlformats.org/drawingml/2006/picture">
                        <pic:nvPicPr>
                          <pic:cNvPr id="2285" name="矩形_4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9" name="矩形_4_SpCnt_103"/>
                  <wp:cNvGraphicFramePr/>
                  <a:graphic xmlns:a="http://schemas.openxmlformats.org/drawingml/2006/main">
                    <a:graphicData uri="http://schemas.openxmlformats.org/drawingml/2006/picture">
                      <pic:pic xmlns:pic="http://schemas.openxmlformats.org/drawingml/2006/picture">
                        <pic:nvPicPr>
                          <pic:cNvPr id="2279" name="矩形_4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6" name="矩形_3_SpCnt_99"/>
                  <wp:cNvGraphicFramePr/>
                  <a:graphic xmlns:a="http://schemas.openxmlformats.org/drawingml/2006/main">
                    <a:graphicData uri="http://schemas.openxmlformats.org/drawingml/2006/picture">
                      <pic:pic xmlns:pic="http://schemas.openxmlformats.org/drawingml/2006/picture">
                        <pic:nvPicPr>
                          <pic:cNvPr id="2296" name="矩形_3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1" name="矩形_9_SpCnt_97"/>
                  <wp:cNvGraphicFramePr/>
                  <a:graphic xmlns:a="http://schemas.openxmlformats.org/drawingml/2006/main">
                    <a:graphicData uri="http://schemas.openxmlformats.org/drawingml/2006/picture">
                      <pic:pic xmlns:pic="http://schemas.openxmlformats.org/drawingml/2006/picture">
                        <pic:nvPicPr>
                          <pic:cNvPr id="2281" name="矩形_9_SpCnt_9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2" name="矩形_6_SpCnt_98"/>
                  <wp:cNvGraphicFramePr/>
                  <a:graphic xmlns:a="http://schemas.openxmlformats.org/drawingml/2006/main">
                    <a:graphicData uri="http://schemas.openxmlformats.org/drawingml/2006/picture">
                      <pic:pic xmlns:pic="http://schemas.openxmlformats.org/drawingml/2006/picture">
                        <pic:nvPicPr>
                          <pic:cNvPr id="2282" name="矩形_6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1" name="矩形_9_SpCnt_98"/>
                  <wp:cNvGraphicFramePr/>
                  <a:graphic xmlns:a="http://schemas.openxmlformats.org/drawingml/2006/main">
                    <a:graphicData uri="http://schemas.openxmlformats.org/drawingml/2006/picture">
                      <pic:pic xmlns:pic="http://schemas.openxmlformats.org/drawingml/2006/picture">
                        <pic:nvPicPr>
                          <pic:cNvPr id="2301" name="矩形_9_SpCnt_9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5" name="矩形_9_SpCnt_99"/>
                  <wp:cNvGraphicFramePr/>
                  <a:graphic xmlns:a="http://schemas.openxmlformats.org/drawingml/2006/main">
                    <a:graphicData uri="http://schemas.openxmlformats.org/drawingml/2006/picture">
                      <pic:pic xmlns:pic="http://schemas.openxmlformats.org/drawingml/2006/picture">
                        <pic:nvPicPr>
                          <pic:cNvPr id="2295" name="矩形_9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7" name="矩形_4_SpCnt_104"/>
                  <wp:cNvGraphicFramePr/>
                  <a:graphic xmlns:a="http://schemas.openxmlformats.org/drawingml/2006/main">
                    <a:graphicData uri="http://schemas.openxmlformats.org/drawingml/2006/picture">
                      <pic:pic xmlns:pic="http://schemas.openxmlformats.org/drawingml/2006/picture">
                        <pic:nvPicPr>
                          <pic:cNvPr id="2307" name="矩形_4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8" name="矩形_17_SpCnt_103"/>
                  <wp:cNvGraphicFramePr/>
                  <a:graphic xmlns:a="http://schemas.openxmlformats.org/drawingml/2006/main">
                    <a:graphicData uri="http://schemas.openxmlformats.org/drawingml/2006/picture">
                      <pic:pic xmlns:pic="http://schemas.openxmlformats.org/drawingml/2006/picture">
                        <pic:nvPicPr>
                          <pic:cNvPr id="2288" name="矩形_17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3" name="矩形_3_SpCnt_100"/>
                  <wp:cNvGraphicFramePr/>
                  <a:graphic xmlns:a="http://schemas.openxmlformats.org/drawingml/2006/main">
                    <a:graphicData uri="http://schemas.openxmlformats.org/drawingml/2006/picture">
                      <pic:pic xmlns:pic="http://schemas.openxmlformats.org/drawingml/2006/picture">
                        <pic:nvPicPr>
                          <pic:cNvPr id="2293" name="矩形_3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2" name="矩形_17_SpCnt_104"/>
                  <wp:cNvGraphicFramePr/>
                  <a:graphic xmlns:a="http://schemas.openxmlformats.org/drawingml/2006/main">
                    <a:graphicData uri="http://schemas.openxmlformats.org/drawingml/2006/picture">
                      <pic:pic xmlns:pic="http://schemas.openxmlformats.org/drawingml/2006/picture">
                        <pic:nvPicPr>
                          <pic:cNvPr id="2302" name="矩形_17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3" name="矩形_9_SpCnt_100"/>
                  <wp:cNvGraphicFramePr/>
                  <a:graphic xmlns:a="http://schemas.openxmlformats.org/drawingml/2006/main">
                    <a:graphicData uri="http://schemas.openxmlformats.org/drawingml/2006/picture">
                      <pic:pic xmlns:pic="http://schemas.openxmlformats.org/drawingml/2006/picture">
                        <pic:nvPicPr>
                          <pic:cNvPr id="2283" name="矩形_9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0" name="矩形_6_SpCnt_99"/>
                  <wp:cNvGraphicFramePr/>
                  <a:graphic xmlns:a="http://schemas.openxmlformats.org/drawingml/2006/main">
                    <a:graphicData uri="http://schemas.openxmlformats.org/drawingml/2006/picture">
                      <pic:pic xmlns:pic="http://schemas.openxmlformats.org/drawingml/2006/picture">
                        <pic:nvPicPr>
                          <pic:cNvPr id="2290" name="矩形_6_SpCnt_9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6" name="矩形_3_SpCnt_101"/>
                  <wp:cNvGraphicFramePr/>
                  <a:graphic xmlns:a="http://schemas.openxmlformats.org/drawingml/2006/main">
                    <a:graphicData uri="http://schemas.openxmlformats.org/drawingml/2006/picture">
                      <pic:pic xmlns:pic="http://schemas.openxmlformats.org/drawingml/2006/picture">
                        <pic:nvPicPr>
                          <pic:cNvPr id="2276" name="矩形_3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3" name="矩形_17_SpCnt_105"/>
                  <wp:cNvGraphicFramePr/>
                  <a:graphic xmlns:a="http://schemas.openxmlformats.org/drawingml/2006/main">
                    <a:graphicData uri="http://schemas.openxmlformats.org/drawingml/2006/picture">
                      <pic:pic xmlns:pic="http://schemas.openxmlformats.org/drawingml/2006/picture">
                        <pic:nvPicPr>
                          <pic:cNvPr id="2303" name="矩形_17_SpCnt_10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7" name="矩形_6_SpCnt_100"/>
                  <wp:cNvGraphicFramePr/>
                  <a:graphic xmlns:a="http://schemas.openxmlformats.org/drawingml/2006/main">
                    <a:graphicData uri="http://schemas.openxmlformats.org/drawingml/2006/picture">
                      <pic:pic xmlns:pic="http://schemas.openxmlformats.org/drawingml/2006/picture">
                        <pic:nvPicPr>
                          <pic:cNvPr id="2287" name="矩形_6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7" name="矩形_16_SpCnt_100"/>
                  <wp:cNvGraphicFramePr/>
                  <a:graphic xmlns:a="http://schemas.openxmlformats.org/drawingml/2006/main">
                    <a:graphicData uri="http://schemas.openxmlformats.org/drawingml/2006/picture">
                      <pic:pic xmlns:pic="http://schemas.openxmlformats.org/drawingml/2006/picture">
                        <pic:nvPicPr>
                          <pic:cNvPr id="2277" name="矩形_16_SpCnt_10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4" name="矩形_16_SpCnt_101"/>
                  <wp:cNvGraphicFramePr/>
                  <a:graphic xmlns:a="http://schemas.openxmlformats.org/drawingml/2006/main">
                    <a:graphicData uri="http://schemas.openxmlformats.org/drawingml/2006/picture">
                      <pic:pic xmlns:pic="http://schemas.openxmlformats.org/drawingml/2006/picture">
                        <pic:nvPicPr>
                          <pic:cNvPr id="2304" name="矩形_16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1" name="矩形_17_SpCnt_106"/>
                  <wp:cNvGraphicFramePr/>
                  <a:graphic xmlns:a="http://schemas.openxmlformats.org/drawingml/2006/main">
                    <a:graphicData uri="http://schemas.openxmlformats.org/drawingml/2006/picture">
                      <pic:pic xmlns:pic="http://schemas.openxmlformats.org/drawingml/2006/picture">
                        <pic:nvPicPr>
                          <pic:cNvPr id="2291" name="矩形_17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2" name="矩形_3_SpCnt_102"/>
                  <wp:cNvGraphicFramePr/>
                  <a:graphic xmlns:a="http://schemas.openxmlformats.org/drawingml/2006/main">
                    <a:graphicData uri="http://schemas.openxmlformats.org/drawingml/2006/picture">
                      <pic:pic xmlns:pic="http://schemas.openxmlformats.org/drawingml/2006/picture">
                        <pic:nvPicPr>
                          <pic:cNvPr id="2292" name="矩形_3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9" name="矩形_16_SpCnt_102"/>
                  <wp:cNvGraphicFramePr/>
                  <a:graphic xmlns:a="http://schemas.openxmlformats.org/drawingml/2006/main">
                    <a:graphicData uri="http://schemas.openxmlformats.org/drawingml/2006/picture">
                      <pic:pic xmlns:pic="http://schemas.openxmlformats.org/drawingml/2006/picture">
                        <pic:nvPicPr>
                          <pic:cNvPr id="2289" name="矩形_16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4" name="矩形_6_SpCnt_101"/>
                  <wp:cNvGraphicFramePr/>
                  <a:graphic xmlns:a="http://schemas.openxmlformats.org/drawingml/2006/main">
                    <a:graphicData uri="http://schemas.openxmlformats.org/drawingml/2006/picture">
                      <pic:pic xmlns:pic="http://schemas.openxmlformats.org/drawingml/2006/picture">
                        <pic:nvPicPr>
                          <pic:cNvPr id="2294" name="矩形_6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78" name="矩形_4_SpCnt_105"/>
                  <wp:cNvGraphicFramePr/>
                  <a:graphic xmlns:a="http://schemas.openxmlformats.org/drawingml/2006/main">
                    <a:graphicData uri="http://schemas.openxmlformats.org/drawingml/2006/picture">
                      <pic:pic xmlns:pic="http://schemas.openxmlformats.org/drawingml/2006/picture">
                        <pic:nvPicPr>
                          <pic:cNvPr id="2278" name="矩形_4_SpCnt_10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7" name="矩形_16_SpCnt_103"/>
                  <wp:cNvGraphicFramePr/>
                  <a:graphic xmlns:a="http://schemas.openxmlformats.org/drawingml/2006/main">
                    <a:graphicData uri="http://schemas.openxmlformats.org/drawingml/2006/picture">
                      <pic:pic xmlns:pic="http://schemas.openxmlformats.org/drawingml/2006/picture">
                        <pic:nvPicPr>
                          <pic:cNvPr id="2297" name="矩形_16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9" name="矩形_3_SpCnt_103"/>
                  <wp:cNvGraphicFramePr/>
                  <a:graphic xmlns:a="http://schemas.openxmlformats.org/drawingml/2006/main">
                    <a:graphicData uri="http://schemas.openxmlformats.org/drawingml/2006/picture">
                      <pic:pic xmlns:pic="http://schemas.openxmlformats.org/drawingml/2006/picture">
                        <pic:nvPicPr>
                          <pic:cNvPr id="2299" name="矩形_3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6" name="矩形_3_SpCnt_104"/>
                  <wp:cNvGraphicFramePr/>
                  <a:graphic xmlns:a="http://schemas.openxmlformats.org/drawingml/2006/main">
                    <a:graphicData uri="http://schemas.openxmlformats.org/drawingml/2006/picture">
                      <pic:pic xmlns:pic="http://schemas.openxmlformats.org/drawingml/2006/picture">
                        <pic:nvPicPr>
                          <pic:cNvPr id="2286" name="矩形_3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84" name="矩形_9_SpCnt_101"/>
                  <wp:cNvGraphicFramePr/>
                  <a:graphic xmlns:a="http://schemas.openxmlformats.org/drawingml/2006/main">
                    <a:graphicData uri="http://schemas.openxmlformats.org/drawingml/2006/picture">
                      <pic:pic xmlns:pic="http://schemas.openxmlformats.org/drawingml/2006/picture">
                        <pic:nvPicPr>
                          <pic:cNvPr id="2284" name="矩形_9_SpCnt_10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298" name="矩形_6_SpCnt_102"/>
                  <wp:cNvGraphicFramePr/>
                  <a:graphic xmlns:a="http://schemas.openxmlformats.org/drawingml/2006/main">
                    <a:graphicData uri="http://schemas.openxmlformats.org/drawingml/2006/picture">
                      <pic:pic xmlns:pic="http://schemas.openxmlformats.org/drawingml/2006/picture">
                        <pic:nvPicPr>
                          <pic:cNvPr id="2298" name="矩形_6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3" name="矩形_4_SpCnt_106"/>
                  <wp:cNvGraphicFramePr/>
                  <a:graphic xmlns:a="http://schemas.openxmlformats.org/drawingml/2006/main">
                    <a:graphicData uri="http://schemas.openxmlformats.org/drawingml/2006/picture">
                      <pic:pic xmlns:pic="http://schemas.openxmlformats.org/drawingml/2006/picture">
                        <pic:nvPicPr>
                          <pic:cNvPr id="2313" name="矩形_4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6" name="矩形_16_SpCnt_104"/>
                  <wp:cNvGraphicFramePr/>
                  <a:graphic xmlns:a="http://schemas.openxmlformats.org/drawingml/2006/main">
                    <a:graphicData uri="http://schemas.openxmlformats.org/drawingml/2006/picture">
                      <pic:pic xmlns:pic="http://schemas.openxmlformats.org/drawingml/2006/picture">
                        <pic:nvPicPr>
                          <pic:cNvPr id="2326" name="矩形_16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7" name="矩形_17_SpCnt_107"/>
                  <wp:cNvGraphicFramePr/>
                  <a:graphic xmlns:a="http://schemas.openxmlformats.org/drawingml/2006/main">
                    <a:graphicData uri="http://schemas.openxmlformats.org/drawingml/2006/picture">
                      <pic:pic xmlns:pic="http://schemas.openxmlformats.org/drawingml/2006/picture">
                        <pic:nvPicPr>
                          <pic:cNvPr id="2327" name="矩形_17_SpCnt_10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9" name="矩形_9_SpCnt_102"/>
                  <wp:cNvGraphicFramePr/>
                  <a:graphic xmlns:a="http://schemas.openxmlformats.org/drawingml/2006/main">
                    <a:graphicData uri="http://schemas.openxmlformats.org/drawingml/2006/picture">
                      <pic:pic xmlns:pic="http://schemas.openxmlformats.org/drawingml/2006/picture">
                        <pic:nvPicPr>
                          <pic:cNvPr id="2339" name="矩形_9_SpCnt_10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9" name="矩形_4_SpCnt_107"/>
                  <wp:cNvGraphicFramePr/>
                  <a:graphic xmlns:a="http://schemas.openxmlformats.org/drawingml/2006/main">
                    <a:graphicData uri="http://schemas.openxmlformats.org/drawingml/2006/picture">
                      <pic:pic xmlns:pic="http://schemas.openxmlformats.org/drawingml/2006/picture">
                        <pic:nvPicPr>
                          <pic:cNvPr id="2319" name="矩形_4_SpCnt_10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21" name="矩形_6_SpCnt_103"/>
                  <wp:cNvGraphicFramePr/>
                  <a:graphic xmlns:a="http://schemas.openxmlformats.org/drawingml/2006/main">
                    <a:graphicData uri="http://schemas.openxmlformats.org/drawingml/2006/picture">
                      <pic:pic xmlns:pic="http://schemas.openxmlformats.org/drawingml/2006/picture">
                        <pic:nvPicPr>
                          <pic:cNvPr id="2321" name="矩形_6_SpCnt_10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8" name="矩形_9_SpCnt_103"/>
                  <wp:cNvGraphicFramePr/>
                  <a:graphic xmlns:a="http://schemas.openxmlformats.org/drawingml/2006/main">
                    <a:graphicData uri="http://schemas.openxmlformats.org/drawingml/2006/picture">
                      <pic:pic xmlns:pic="http://schemas.openxmlformats.org/drawingml/2006/picture">
                        <pic:nvPicPr>
                          <pic:cNvPr id="2308" name="矩形_9_SpCnt_10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1" name="矩形_16_SpCnt_105"/>
                  <wp:cNvGraphicFramePr/>
                  <a:graphic xmlns:a="http://schemas.openxmlformats.org/drawingml/2006/main">
                    <a:graphicData uri="http://schemas.openxmlformats.org/drawingml/2006/picture">
                      <pic:pic xmlns:pic="http://schemas.openxmlformats.org/drawingml/2006/picture">
                        <pic:nvPicPr>
                          <pic:cNvPr id="2331" name="矩形_16_SpCnt_10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4" name="矩形_4_SpCnt_108"/>
                  <wp:cNvGraphicFramePr/>
                  <a:graphic xmlns:a="http://schemas.openxmlformats.org/drawingml/2006/main">
                    <a:graphicData uri="http://schemas.openxmlformats.org/drawingml/2006/picture">
                      <pic:pic xmlns:pic="http://schemas.openxmlformats.org/drawingml/2006/picture">
                        <pic:nvPicPr>
                          <pic:cNvPr id="2334" name="矩形_4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4" name="矩形_3_SpCnt_105"/>
                  <wp:cNvGraphicFramePr/>
                  <a:graphic xmlns:a="http://schemas.openxmlformats.org/drawingml/2006/main">
                    <a:graphicData uri="http://schemas.openxmlformats.org/drawingml/2006/picture">
                      <pic:pic xmlns:pic="http://schemas.openxmlformats.org/drawingml/2006/picture">
                        <pic:nvPicPr>
                          <pic:cNvPr id="2314" name="矩形_3_SpCnt_10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8" name="矩形_9_SpCnt_104"/>
                  <wp:cNvGraphicFramePr/>
                  <a:graphic xmlns:a="http://schemas.openxmlformats.org/drawingml/2006/main">
                    <a:graphicData uri="http://schemas.openxmlformats.org/drawingml/2006/picture">
                      <pic:pic xmlns:pic="http://schemas.openxmlformats.org/drawingml/2006/picture">
                        <pic:nvPicPr>
                          <pic:cNvPr id="2318" name="矩形_9_SpCnt_10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2" name="矩形_17_SpCnt_108"/>
                  <wp:cNvGraphicFramePr/>
                  <a:graphic xmlns:a="http://schemas.openxmlformats.org/drawingml/2006/main">
                    <a:graphicData uri="http://schemas.openxmlformats.org/drawingml/2006/picture">
                      <pic:pic xmlns:pic="http://schemas.openxmlformats.org/drawingml/2006/picture">
                        <pic:nvPicPr>
                          <pic:cNvPr id="2322" name="矩形_17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2" name="矩形_6_SpCnt_104"/>
                  <wp:cNvGraphicFramePr/>
                  <a:graphic xmlns:a="http://schemas.openxmlformats.org/drawingml/2006/main">
                    <a:graphicData uri="http://schemas.openxmlformats.org/drawingml/2006/picture">
                      <pic:pic xmlns:pic="http://schemas.openxmlformats.org/drawingml/2006/picture">
                        <pic:nvPicPr>
                          <pic:cNvPr id="2332" name="矩形_6_SpCnt_10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3" name="矩形_3_SpCnt_106"/>
                  <wp:cNvGraphicFramePr/>
                  <a:graphic xmlns:a="http://schemas.openxmlformats.org/drawingml/2006/main">
                    <a:graphicData uri="http://schemas.openxmlformats.org/drawingml/2006/picture">
                      <pic:pic xmlns:pic="http://schemas.openxmlformats.org/drawingml/2006/picture">
                        <pic:nvPicPr>
                          <pic:cNvPr id="2323" name="矩形_3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6" name="矩形_4_SpCnt_109"/>
                  <wp:cNvGraphicFramePr/>
                  <a:graphic xmlns:a="http://schemas.openxmlformats.org/drawingml/2006/main">
                    <a:graphicData uri="http://schemas.openxmlformats.org/drawingml/2006/picture">
                      <pic:pic xmlns:pic="http://schemas.openxmlformats.org/drawingml/2006/picture">
                        <pic:nvPicPr>
                          <pic:cNvPr id="2316" name="矩形_4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3" name="矩形_17_SpCnt_109"/>
                  <wp:cNvGraphicFramePr/>
                  <a:graphic xmlns:a="http://schemas.openxmlformats.org/drawingml/2006/main">
                    <a:graphicData uri="http://schemas.openxmlformats.org/drawingml/2006/picture">
                      <pic:pic xmlns:pic="http://schemas.openxmlformats.org/drawingml/2006/picture">
                        <pic:nvPicPr>
                          <pic:cNvPr id="2333" name="矩形_17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2" name="矩形_4_SpCnt_110"/>
                  <wp:cNvGraphicFramePr/>
                  <a:graphic xmlns:a="http://schemas.openxmlformats.org/drawingml/2006/main">
                    <a:graphicData uri="http://schemas.openxmlformats.org/drawingml/2006/picture">
                      <pic:pic xmlns:pic="http://schemas.openxmlformats.org/drawingml/2006/picture">
                        <pic:nvPicPr>
                          <pic:cNvPr id="2312" name="矩形_4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09" name="矩形_9_SpCnt_105"/>
                  <wp:cNvGraphicFramePr/>
                  <a:graphic xmlns:a="http://schemas.openxmlformats.org/drawingml/2006/main">
                    <a:graphicData uri="http://schemas.openxmlformats.org/drawingml/2006/picture">
                      <pic:pic xmlns:pic="http://schemas.openxmlformats.org/drawingml/2006/picture">
                        <pic:nvPicPr>
                          <pic:cNvPr id="2309" name="矩形_9_SpCnt_10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0" name="矩形_3_SpCnt_107"/>
                  <wp:cNvGraphicFramePr/>
                  <a:graphic xmlns:a="http://schemas.openxmlformats.org/drawingml/2006/main">
                    <a:graphicData uri="http://schemas.openxmlformats.org/drawingml/2006/picture">
                      <pic:pic xmlns:pic="http://schemas.openxmlformats.org/drawingml/2006/picture">
                        <pic:nvPicPr>
                          <pic:cNvPr id="2310" name="矩形_3_SpCnt_10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5" name="矩形_17_SpCnt_110"/>
                  <wp:cNvGraphicFramePr/>
                  <a:graphic xmlns:a="http://schemas.openxmlformats.org/drawingml/2006/main">
                    <a:graphicData uri="http://schemas.openxmlformats.org/drawingml/2006/picture">
                      <pic:pic xmlns:pic="http://schemas.openxmlformats.org/drawingml/2006/picture">
                        <pic:nvPicPr>
                          <pic:cNvPr id="2335" name="矩形_17_SpCnt_110"/>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24" name="矩形_6_SpCnt_105"/>
                  <wp:cNvGraphicFramePr/>
                  <a:graphic xmlns:a="http://schemas.openxmlformats.org/drawingml/2006/main">
                    <a:graphicData uri="http://schemas.openxmlformats.org/drawingml/2006/picture">
                      <pic:pic xmlns:pic="http://schemas.openxmlformats.org/drawingml/2006/picture">
                        <pic:nvPicPr>
                          <pic:cNvPr id="2324" name="矩形_6_SpCnt_10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20" name="矩形_16_SpCnt_106"/>
                  <wp:cNvGraphicFramePr/>
                  <a:graphic xmlns:a="http://schemas.openxmlformats.org/drawingml/2006/main">
                    <a:graphicData uri="http://schemas.openxmlformats.org/drawingml/2006/picture">
                      <pic:pic xmlns:pic="http://schemas.openxmlformats.org/drawingml/2006/picture">
                        <pic:nvPicPr>
                          <pic:cNvPr id="2320" name="矩形_16_SpCnt_106"/>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6" name="矩形_16_SpCnt_107"/>
                  <wp:cNvGraphicFramePr/>
                  <a:graphic xmlns:a="http://schemas.openxmlformats.org/drawingml/2006/main">
                    <a:graphicData uri="http://schemas.openxmlformats.org/drawingml/2006/picture">
                      <pic:pic xmlns:pic="http://schemas.openxmlformats.org/drawingml/2006/picture">
                        <pic:nvPicPr>
                          <pic:cNvPr id="2336" name="矩形_16_SpCnt_10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7" name="矩形_17_SpCnt_111"/>
                  <wp:cNvGraphicFramePr/>
                  <a:graphic xmlns:a="http://schemas.openxmlformats.org/drawingml/2006/main">
                    <a:graphicData uri="http://schemas.openxmlformats.org/drawingml/2006/picture">
                      <pic:pic xmlns:pic="http://schemas.openxmlformats.org/drawingml/2006/picture">
                        <pic:nvPicPr>
                          <pic:cNvPr id="2317" name="矩形_17_SpCnt_11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11" name="矩形_9_SpCnt_106"/>
                  <wp:cNvGraphicFramePr/>
                  <a:graphic xmlns:a="http://schemas.openxmlformats.org/drawingml/2006/main">
                    <a:graphicData uri="http://schemas.openxmlformats.org/drawingml/2006/picture">
                      <pic:pic xmlns:pic="http://schemas.openxmlformats.org/drawingml/2006/picture">
                        <pic:nvPicPr>
                          <pic:cNvPr id="2311" name="矩形_9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7" name="矩形_4_SpCnt_111"/>
                  <wp:cNvGraphicFramePr/>
                  <a:graphic xmlns:a="http://schemas.openxmlformats.org/drawingml/2006/main">
                    <a:graphicData uri="http://schemas.openxmlformats.org/drawingml/2006/picture">
                      <pic:pic xmlns:pic="http://schemas.openxmlformats.org/drawingml/2006/picture">
                        <pic:nvPicPr>
                          <pic:cNvPr id="2337" name="矩形_4_SpCnt_11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38" name="矩形_17_SpCnt_112"/>
                  <wp:cNvGraphicFramePr/>
                  <a:graphic xmlns:a="http://schemas.openxmlformats.org/drawingml/2006/main">
                    <a:graphicData uri="http://schemas.openxmlformats.org/drawingml/2006/picture">
                      <pic:pic xmlns:pic="http://schemas.openxmlformats.org/drawingml/2006/picture">
                        <pic:nvPicPr>
                          <pic:cNvPr id="2338" name="矩形_17_SpCnt_11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15" name="矩形_16_SpCnt_108"/>
                  <wp:cNvGraphicFramePr/>
                  <a:graphic xmlns:a="http://schemas.openxmlformats.org/drawingml/2006/main">
                    <a:graphicData uri="http://schemas.openxmlformats.org/drawingml/2006/picture">
                      <pic:pic xmlns:pic="http://schemas.openxmlformats.org/drawingml/2006/picture">
                        <pic:nvPicPr>
                          <pic:cNvPr id="2315" name="矩形_16_SpCnt_10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30" name="矩形_4_SpCnt_112"/>
                  <wp:cNvGraphicFramePr/>
                  <a:graphic xmlns:a="http://schemas.openxmlformats.org/drawingml/2006/main">
                    <a:graphicData uri="http://schemas.openxmlformats.org/drawingml/2006/picture">
                      <pic:pic xmlns:pic="http://schemas.openxmlformats.org/drawingml/2006/picture">
                        <pic:nvPicPr>
                          <pic:cNvPr id="2330" name="矩形_4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5" name="矩形_16_SpCnt_109"/>
                  <wp:cNvGraphicFramePr/>
                  <a:graphic xmlns:a="http://schemas.openxmlformats.org/drawingml/2006/main">
                    <a:graphicData uri="http://schemas.openxmlformats.org/drawingml/2006/picture">
                      <pic:pic xmlns:pic="http://schemas.openxmlformats.org/drawingml/2006/picture">
                        <pic:nvPicPr>
                          <pic:cNvPr id="2325" name="矩形_16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8" name="矩形_3_SpCnt_108"/>
                  <wp:cNvGraphicFramePr/>
                  <a:graphic xmlns:a="http://schemas.openxmlformats.org/drawingml/2006/main">
                    <a:graphicData uri="http://schemas.openxmlformats.org/drawingml/2006/picture">
                      <pic:pic xmlns:pic="http://schemas.openxmlformats.org/drawingml/2006/picture">
                        <pic:nvPicPr>
                          <pic:cNvPr id="2328" name="矩形_3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29" name="矩形_9_SpCnt_107"/>
                  <wp:cNvGraphicFramePr/>
                  <a:graphic xmlns:a="http://schemas.openxmlformats.org/drawingml/2006/main">
                    <a:graphicData uri="http://schemas.openxmlformats.org/drawingml/2006/picture">
                      <pic:pic xmlns:pic="http://schemas.openxmlformats.org/drawingml/2006/picture">
                        <pic:nvPicPr>
                          <pic:cNvPr id="2329" name="矩形_9_SpCnt_10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4" name="矩形_9_SpCnt_108"/>
                  <wp:cNvGraphicFramePr/>
                  <a:graphic xmlns:a="http://schemas.openxmlformats.org/drawingml/2006/main">
                    <a:graphicData uri="http://schemas.openxmlformats.org/drawingml/2006/picture">
                      <pic:pic xmlns:pic="http://schemas.openxmlformats.org/drawingml/2006/picture">
                        <pic:nvPicPr>
                          <pic:cNvPr id="2364" name="矩形_9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3" name="矩形_3_SpCnt_109"/>
                  <wp:cNvGraphicFramePr/>
                  <a:graphic xmlns:a="http://schemas.openxmlformats.org/drawingml/2006/main">
                    <a:graphicData uri="http://schemas.openxmlformats.org/drawingml/2006/picture">
                      <pic:pic xmlns:pic="http://schemas.openxmlformats.org/drawingml/2006/picture">
                        <pic:nvPicPr>
                          <pic:cNvPr id="2343" name="矩形_3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5" name="矩形_4_SpCnt_113"/>
                  <wp:cNvGraphicFramePr/>
                  <a:graphic xmlns:a="http://schemas.openxmlformats.org/drawingml/2006/main">
                    <a:graphicData uri="http://schemas.openxmlformats.org/drawingml/2006/picture">
                      <pic:pic xmlns:pic="http://schemas.openxmlformats.org/drawingml/2006/picture">
                        <pic:nvPicPr>
                          <pic:cNvPr id="2365" name="矩形_4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1" name="矩形_4_SpCnt_114"/>
                  <wp:cNvGraphicFramePr/>
                  <a:graphic xmlns:a="http://schemas.openxmlformats.org/drawingml/2006/main">
                    <a:graphicData uri="http://schemas.openxmlformats.org/drawingml/2006/picture">
                      <pic:pic xmlns:pic="http://schemas.openxmlformats.org/drawingml/2006/picture">
                        <pic:nvPicPr>
                          <pic:cNvPr id="2351" name="矩形_4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9" name="矩形_6_SpCnt_106"/>
                  <wp:cNvGraphicFramePr/>
                  <a:graphic xmlns:a="http://schemas.openxmlformats.org/drawingml/2006/main">
                    <a:graphicData uri="http://schemas.openxmlformats.org/drawingml/2006/picture">
                      <pic:pic xmlns:pic="http://schemas.openxmlformats.org/drawingml/2006/picture">
                        <pic:nvPicPr>
                          <pic:cNvPr id="2359" name="矩形_6_SpCnt_10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2" name="矩形_17_SpCnt_113"/>
                  <wp:cNvGraphicFramePr/>
                  <a:graphic xmlns:a="http://schemas.openxmlformats.org/drawingml/2006/main">
                    <a:graphicData uri="http://schemas.openxmlformats.org/drawingml/2006/picture">
                      <pic:pic xmlns:pic="http://schemas.openxmlformats.org/drawingml/2006/picture">
                        <pic:nvPicPr>
                          <pic:cNvPr id="2352" name="矩形_17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0" name="矩形_9_SpCnt_109"/>
                  <wp:cNvGraphicFramePr/>
                  <a:graphic xmlns:a="http://schemas.openxmlformats.org/drawingml/2006/main">
                    <a:graphicData uri="http://schemas.openxmlformats.org/drawingml/2006/picture">
                      <pic:pic xmlns:pic="http://schemas.openxmlformats.org/drawingml/2006/picture">
                        <pic:nvPicPr>
                          <pic:cNvPr id="2360" name="矩形_9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9" name="矩形_3_SpCnt_110"/>
                  <wp:cNvGraphicFramePr/>
                  <a:graphic xmlns:a="http://schemas.openxmlformats.org/drawingml/2006/main">
                    <a:graphicData uri="http://schemas.openxmlformats.org/drawingml/2006/picture">
                      <pic:pic xmlns:pic="http://schemas.openxmlformats.org/drawingml/2006/picture">
                        <pic:nvPicPr>
                          <pic:cNvPr id="2349" name="矩形_3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5" name="矩形_6_SpCnt_107"/>
                  <wp:cNvGraphicFramePr/>
                  <a:graphic xmlns:a="http://schemas.openxmlformats.org/drawingml/2006/main">
                    <a:graphicData uri="http://schemas.openxmlformats.org/drawingml/2006/picture">
                      <pic:pic xmlns:pic="http://schemas.openxmlformats.org/drawingml/2006/picture">
                        <pic:nvPicPr>
                          <pic:cNvPr id="2345" name="矩形_6_SpCnt_10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8" name="矩形_3_SpCnt_111"/>
                  <wp:cNvGraphicFramePr/>
                  <a:graphic xmlns:a="http://schemas.openxmlformats.org/drawingml/2006/main">
                    <a:graphicData uri="http://schemas.openxmlformats.org/drawingml/2006/picture">
                      <pic:pic xmlns:pic="http://schemas.openxmlformats.org/drawingml/2006/picture">
                        <pic:nvPicPr>
                          <pic:cNvPr id="2368" name="矩形_3_SpCnt_11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9" name="矩形_16_SpCnt_110"/>
                  <wp:cNvGraphicFramePr/>
                  <a:graphic xmlns:a="http://schemas.openxmlformats.org/drawingml/2006/main">
                    <a:graphicData uri="http://schemas.openxmlformats.org/drawingml/2006/picture">
                      <pic:pic xmlns:pic="http://schemas.openxmlformats.org/drawingml/2006/picture">
                        <pic:nvPicPr>
                          <pic:cNvPr id="2369" name="矩形_16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3" name="矩形_9_SpCnt_110"/>
                  <wp:cNvGraphicFramePr/>
                  <a:graphic xmlns:a="http://schemas.openxmlformats.org/drawingml/2006/main">
                    <a:graphicData uri="http://schemas.openxmlformats.org/drawingml/2006/picture">
                      <pic:pic xmlns:pic="http://schemas.openxmlformats.org/drawingml/2006/picture">
                        <pic:nvPicPr>
                          <pic:cNvPr id="2353" name="矩形_9_SpCnt_110"/>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4" name="矩形_6_SpCnt_108"/>
                  <wp:cNvGraphicFramePr/>
                  <a:graphic xmlns:a="http://schemas.openxmlformats.org/drawingml/2006/main">
                    <a:graphicData uri="http://schemas.openxmlformats.org/drawingml/2006/picture">
                      <pic:pic xmlns:pic="http://schemas.openxmlformats.org/drawingml/2006/picture">
                        <pic:nvPicPr>
                          <pic:cNvPr id="2354" name="矩形_6_SpCnt_10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8" name="矩形_9_SpCnt_111"/>
                  <wp:cNvGraphicFramePr/>
                  <a:graphic xmlns:a="http://schemas.openxmlformats.org/drawingml/2006/main">
                    <a:graphicData uri="http://schemas.openxmlformats.org/drawingml/2006/picture">
                      <pic:pic xmlns:pic="http://schemas.openxmlformats.org/drawingml/2006/picture">
                        <pic:nvPicPr>
                          <pic:cNvPr id="2358" name="矩形_9_SpCnt_11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5" name="矩形_3_SpCnt_112"/>
                  <wp:cNvGraphicFramePr/>
                  <a:graphic xmlns:a="http://schemas.openxmlformats.org/drawingml/2006/main">
                    <a:graphicData uri="http://schemas.openxmlformats.org/drawingml/2006/picture">
                      <pic:pic xmlns:pic="http://schemas.openxmlformats.org/drawingml/2006/picture">
                        <pic:nvPicPr>
                          <pic:cNvPr id="2355" name="矩形_3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6" name="矩形_17_SpCnt_114"/>
                  <wp:cNvGraphicFramePr/>
                  <a:graphic xmlns:a="http://schemas.openxmlformats.org/drawingml/2006/main">
                    <a:graphicData uri="http://schemas.openxmlformats.org/drawingml/2006/picture">
                      <pic:pic xmlns:pic="http://schemas.openxmlformats.org/drawingml/2006/picture">
                        <pic:nvPicPr>
                          <pic:cNvPr id="2366" name="矩形_17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1" name="矩形_16_SpCnt_111"/>
                  <wp:cNvGraphicFramePr/>
                  <a:graphic xmlns:a="http://schemas.openxmlformats.org/drawingml/2006/main">
                    <a:graphicData uri="http://schemas.openxmlformats.org/drawingml/2006/picture">
                      <pic:pic xmlns:pic="http://schemas.openxmlformats.org/drawingml/2006/picture">
                        <pic:nvPicPr>
                          <pic:cNvPr id="2361" name="矩形_16_SpCnt_111"/>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7" name="矩形_4_SpCnt_115"/>
                  <wp:cNvGraphicFramePr/>
                  <a:graphic xmlns:a="http://schemas.openxmlformats.org/drawingml/2006/main">
                    <a:graphicData uri="http://schemas.openxmlformats.org/drawingml/2006/picture">
                      <pic:pic xmlns:pic="http://schemas.openxmlformats.org/drawingml/2006/picture">
                        <pic:nvPicPr>
                          <pic:cNvPr id="2367" name="矩形_4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4" name="矩形_6_SpCnt_109"/>
                  <wp:cNvGraphicFramePr/>
                  <a:graphic xmlns:a="http://schemas.openxmlformats.org/drawingml/2006/main">
                    <a:graphicData uri="http://schemas.openxmlformats.org/drawingml/2006/picture">
                      <pic:pic xmlns:pic="http://schemas.openxmlformats.org/drawingml/2006/picture">
                        <pic:nvPicPr>
                          <pic:cNvPr id="2344" name="矩形_6_SpCnt_10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70" name="矩形_6_SpCnt_110"/>
                  <wp:cNvGraphicFramePr/>
                  <a:graphic xmlns:a="http://schemas.openxmlformats.org/drawingml/2006/main">
                    <a:graphicData uri="http://schemas.openxmlformats.org/drawingml/2006/picture">
                      <pic:pic xmlns:pic="http://schemas.openxmlformats.org/drawingml/2006/picture">
                        <pic:nvPicPr>
                          <pic:cNvPr id="2370" name="矩形_6_SpCnt_110"/>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71" name="矩形_3_SpCnt_113"/>
                  <wp:cNvGraphicFramePr/>
                  <a:graphic xmlns:a="http://schemas.openxmlformats.org/drawingml/2006/main">
                    <a:graphicData uri="http://schemas.openxmlformats.org/drawingml/2006/picture">
                      <pic:pic xmlns:pic="http://schemas.openxmlformats.org/drawingml/2006/picture">
                        <pic:nvPicPr>
                          <pic:cNvPr id="2371" name="矩形_3_SpCnt_11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6" name="矩形_16_SpCnt_112"/>
                  <wp:cNvGraphicFramePr/>
                  <a:graphic xmlns:a="http://schemas.openxmlformats.org/drawingml/2006/main">
                    <a:graphicData uri="http://schemas.openxmlformats.org/drawingml/2006/picture">
                      <pic:pic xmlns:pic="http://schemas.openxmlformats.org/drawingml/2006/picture">
                        <pic:nvPicPr>
                          <pic:cNvPr id="2356" name="矩形_16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57" name="矩形_9_SpCnt_112"/>
                  <wp:cNvGraphicFramePr/>
                  <a:graphic xmlns:a="http://schemas.openxmlformats.org/drawingml/2006/main">
                    <a:graphicData uri="http://schemas.openxmlformats.org/drawingml/2006/picture">
                      <pic:pic xmlns:pic="http://schemas.openxmlformats.org/drawingml/2006/picture">
                        <pic:nvPicPr>
                          <pic:cNvPr id="2357" name="矩形_9_SpCnt_112"/>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62" name="矩形_3_SpCnt_114"/>
                  <wp:cNvGraphicFramePr/>
                  <a:graphic xmlns:a="http://schemas.openxmlformats.org/drawingml/2006/main">
                    <a:graphicData uri="http://schemas.openxmlformats.org/drawingml/2006/picture">
                      <pic:pic xmlns:pic="http://schemas.openxmlformats.org/drawingml/2006/picture">
                        <pic:nvPicPr>
                          <pic:cNvPr id="2362" name="矩形_3_SpCnt_11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0" name="矩形_4_SpCnt_116"/>
                  <wp:cNvGraphicFramePr/>
                  <a:graphic xmlns:a="http://schemas.openxmlformats.org/drawingml/2006/main">
                    <a:graphicData uri="http://schemas.openxmlformats.org/drawingml/2006/picture">
                      <pic:pic xmlns:pic="http://schemas.openxmlformats.org/drawingml/2006/picture">
                        <pic:nvPicPr>
                          <pic:cNvPr id="2340" name="矩形_4_SpCnt_116"/>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63" name="矩形_16_SpCnt_113"/>
                  <wp:cNvGraphicFramePr/>
                  <a:graphic xmlns:a="http://schemas.openxmlformats.org/drawingml/2006/main">
                    <a:graphicData uri="http://schemas.openxmlformats.org/drawingml/2006/picture">
                      <pic:pic xmlns:pic="http://schemas.openxmlformats.org/drawingml/2006/picture">
                        <pic:nvPicPr>
                          <pic:cNvPr id="2363" name="矩形_16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1" name="矩形_9_SpCnt_113"/>
                  <wp:cNvGraphicFramePr/>
                  <a:graphic xmlns:a="http://schemas.openxmlformats.org/drawingml/2006/main">
                    <a:graphicData uri="http://schemas.openxmlformats.org/drawingml/2006/picture">
                      <pic:pic xmlns:pic="http://schemas.openxmlformats.org/drawingml/2006/picture">
                        <pic:nvPicPr>
                          <pic:cNvPr id="2341" name="矩形_9_SpCnt_113"/>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2" name="矩形_3_SpCnt_115"/>
                  <wp:cNvGraphicFramePr/>
                  <a:graphic xmlns:a="http://schemas.openxmlformats.org/drawingml/2006/main">
                    <a:graphicData uri="http://schemas.openxmlformats.org/drawingml/2006/picture">
                      <pic:pic xmlns:pic="http://schemas.openxmlformats.org/drawingml/2006/picture">
                        <pic:nvPicPr>
                          <pic:cNvPr id="2342" name="矩形_3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6" name="矩形_9_SpCnt_114"/>
                  <wp:cNvGraphicFramePr/>
                  <a:graphic xmlns:a="http://schemas.openxmlformats.org/drawingml/2006/main">
                    <a:graphicData uri="http://schemas.openxmlformats.org/drawingml/2006/picture">
                      <pic:pic xmlns:pic="http://schemas.openxmlformats.org/drawingml/2006/picture">
                        <pic:nvPicPr>
                          <pic:cNvPr id="2346" name="矩形_9_SpCnt_114"/>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47" name="矩形_6_SpCnt_111"/>
                  <wp:cNvGraphicFramePr/>
                  <a:graphic xmlns:a="http://schemas.openxmlformats.org/drawingml/2006/main">
                    <a:graphicData uri="http://schemas.openxmlformats.org/drawingml/2006/picture">
                      <pic:pic xmlns:pic="http://schemas.openxmlformats.org/drawingml/2006/picture">
                        <pic:nvPicPr>
                          <pic:cNvPr id="2347" name="矩形_6_SpCnt_111"/>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48" name="矩形_6_SpCnt_112"/>
                  <wp:cNvGraphicFramePr/>
                  <a:graphic xmlns:a="http://schemas.openxmlformats.org/drawingml/2006/main">
                    <a:graphicData uri="http://schemas.openxmlformats.org/drawingml/2006/picture">
                      <pic:pic xmlns:pic="http://schemas.openxmlformats.org/drawingml/2006/picture">
                        <pic:nvPicPr>
                          <pic:cNvPr id="2348" name="矩形_6_SpCnt_112"/>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50" name="矩形_9_SpCnt_115"/>
                  <wp:cNvGraphicFramePr/>
                  <a:graphic xmlns:a="http://schemas.openxmlformats.org/drawingml/2006/main">
                    <a:graphicData uri="http://schemas.openxmlformats.org/drawingml/2006/picture">
                      <pic:pic xmlns:pic="http://schemas.openxmlformats.org/drawingml/2006/picture">
                        <pic:nvPicPr>
                          <pic:cNvPr id="2350" name="矩形_9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6" name="矩形_9_SpCnt_116"/>
                  <wp:cNvGraphicFramePr/>
                  <a:graphic xmlns:a="http://schemas.openxmlformats.org/drawingml/2006/main">
                    <a:graphicData uri="http://schemas.openxmlformats.org/drawingml/2006/picture">
                      <pic:pic xmlns:pic="http://schemas.openxmlformats.org/drawingml/2006/picture">
                        <pic:nvPicPr>
                          <pic:cNvPr id="2386" name="矩形_9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6" name="矩形_17_SpCnt_115"/>
                  <wp:cNvGraphicFramePr/>
                  <a:graphic xmlns:a="http://schemas.openxmlformats.org/drawingml/2006/main">
                    <a:graphicData uri="http://schemas.openxmlformats.org/drawingml/2006/picture">
                      <pic:pic xmlns:pic="http://schemas.openxmlformats.org/drawingml/2006/picture">
                        <pic:nvPicPr>
                          <pic:cNvPr id="2376" name="矩形_17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5" name="矩形_6_SpCnt_113"/>
                  <wp:cNvGraphicFramePr/>
                  <a:graphic xmlns:a="http://schemas.openxmlformats.org/drawingml/2006/main">
                    <a:graphicData uri="http://schemas.openxmlformats.org/drawingml/2006/picture">
                      <pic:pic xmlns:pic="http://schemas.openxmlformats.org/drawingml/2006/picture">
                        <pic:nvPicPr>
                          <pic:cNvPr id="2385" name="矩形_6_SpCnt_113"/>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5" name="矩形_16_SpCnt_114"/>
                  <wp:cNvGraphicFramePr/>
                  <a:graphic xmlns:a="http://schemas.openxmlformats.org/drawingml/2006/main">
                    <a:graphicData uri="http://schemas.openxmlformats.org/drawingml/2006/picture">
                      <pic:pic xmlns:pic="http://schemas.openxmlformats.org/drawingml/2006/picture">
                        <pic:nvPicPr>
                          <pic:cNvPr id="2375" name="矩形_16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9" name="矩形_4_SpCnt_117"/>
                  <wp:cNvGraphicFramePr/>
                  <a:graphic xmlns:a="http://schemas.openxmlformats.org/drawingml/2006/main">
                    <a:graphicData uri="http://schemas.openxmlformats.org/drawingml/2006/picture">
                      <pic:pic xmlns:pic="http://schemas.openxmlformats.org/drawingml/2006/picture">
                        <pic:nvPicPr>
                          <pic:cNvPr id="2389" name="矩形_4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7" name="矩形_6_SpCnt_114"/>
                  <wp:cNvGraphicFramePr/>
                  <a:graphic xmlns:a="http://schemas.openxmlformats.org/drawingml/2006/main">
                    <a:graphicData uri="http://schemas.openxmlformats.org/drawingml/2006/picture">
                      <pic:pic xmlns:pic="http://schemas.openxmlformats.org/drawingml/2006/picture">
                        <pic:nvPicPr>
                          <pic:cNvPr id="2377" name="矩形_6_SpCnt_114"/>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4" name="矩形_16_SpCnt_115"/>
                  <wp:cNvGraphicFramePr/>
                  <a:graphic xmlns:a="http://schemas.openxmlformats.org/drawingml/2006/main">
                    <a:graphicData uri="http://schemas.openxmlformats.org/drawingml/2006/picture">
                      <pic:pic xmlns:pic="http://schemas.openxmlformats.org/drawingml/2006/picture">
                        <pic:nvPicPr>
                          <pic:cNvPr id="2384" name="矩形_16_SpCnt_115"/>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6" name="矩形_16_SpCnt_116"/>
                  <wp:cNvGraphicFramePr/>
                  <a:graphic xmlns:a="http://schemas.openxmlformats.org/drawingml/2006/main">
                    <a:graphicData uri="http://schemas.openxmlformats.org/drawingml/2006/picture">
                      <pic:pic xmlns:pic="http://schemas.openxmlformats.org/drawingml/2006/picture">
                        <pic:nvPicPr>
                          <pic:cNvPr id="2396" name="矩形_16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7" name="矩形_17_SpCnt_116"/>
                  <wp:cNvGraphicFramePr/>
                  <a:graphic xmlns:a="http://schemas.openxmlformats.org/drawingml/2006/main">
                    <a:graphicData uri="http://schemas.openxmlformats.org/drawingml/2006/picture">
                      <pic:pic xmlns:pic="http://schemas.openxmlformats.org/drawingml/2006/picture">
                        <pic:nvPicPr>
                          <pic:cNvPr id="2397" name="矩形_17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1" name="矩形_3_SpCnt_116"/>
                  <wp:cNvGraphicFramePr/>
                  <a:graphic xmlns:a="http://schemas.openxmlformats.org/drawingml/2006/main">
                    <a:graphicData uri="http://schemas.openxmlformats.org/drawingml/2006/picture">
                      <pic:pic xmlns:pic="http://schemas.openxmlformats.org/drawingml/2006/picture">
                        <pic:nvPicPr>
                          <pic:cNvPr id="2381" name="矩形_3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78" name="矩形_4_SpCnt_118"/>
                  <wp:cNvGraphicFramePr/>
                  <a:graphic xmlns:a="http://schemas.openxmlformats.org/drawingml/2006/main">
                    <a:graphicData uri="http://schemas.openxmlformats.org/drawingml/2006/picture">
                      <pic:pic xmlns:pic="http://schemas.openxmlformats.org/drawingml/2006/picture">
                        <pic:nvPicPr>
                          <pic:cNvPr id="2378" name="矩形_4_SpCnt_11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88" name="矩形_6_SpCnt_115"/>
                  <wp:cNvGraphicFramePr/>
                  <a:graphic xmlns:a="http://schemas.openxmlformats.org/drawingml/2006/main">
                    <a:graphicData uri="http://schemas.openxmlformats.org/drawingml/2006/picture">
                      <pic:pic xmlns:pic="http://schemas.openxmlformats.org/drawingml/2006/picture">
                        <pic:nvPicPr>
                          <pic:cNvPr id="2388" name="矩形_6_SpCnt_115"/>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7" name="矩形_9_SpCnt_117"/>
                  <wp:cNvGraphicFramePr/>
                  <a:graphic xmlns:a="http://schemas.openxmlformats.org/drawingml/2006/main">
                    <a:graphicData uri="http://schemas.openxmlformats.org/drawingml/2006/picture">
                      <pic:pic xmlns:pic="http://schemas.openxmlformats.org/drawingml/2006/picture">
                        <pic:nvPicPr>
                          <pic:cNvPr id="2387" name="矩形_9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802640" cy="562610"/>
                  <wp:effectExtent l="0" t="0" r="0" b="0"/>
                  <wp:wrapNone/>
                  <wp:docPr id="2400" name="矩形_9_SpCnt_118"/>
                  <wp:cNvGraphicFramePr/>
                  <a:graphic xmlns:a="http://schemas.openxmlformats.org/drawingml/2006/main">
                    <a:graphicData uri="http://schemas.openxmlformats.org/drawingml/2006/picture">
                      <pic:pic xmlns:pic="http://schemas.openxmlformats.org/drawingml/2006/picture">
                        <pic:nvPicPr>
                          <pic:cNvPr id="2400" name="矩形_9_SpCnt_11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0" name="矩形_3_SpCnt_117"/>
                  <wp:cNvGraphicFramePr/>
                  <a:graphic xmlns:a="http://schemas.openxmlformats.org/drawingml/2006/main">
                    <a:graphicData uri="http://schemas.openxmlformats.org/drawingml/2006/picture">
                      <pic:pic xmlns:pic="http://schemas.openxmlformats.org/drawingml/2006/picture">
                        <pic:nvPicPr>
                          <pic:cNvPr id="2390" name="矩形_3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98" name="矩形_17_SpCnt_117"/>
                  <wp:cNvGraphicFramePr/>
                  <a:graphic xmlns:a="http://schemas.openxmlformats.org/drawingml/2006/main">
                    <a:graphicData uri="http://schemas.openxmlformats.org/drawingml/2006/picture">
                      <pic:pic xmlns:pic="http://schemas.openxmlformats.org/drawingml/2006/picture">
                        <pic:nvPicPr>
                          <pic:cNvPr id="2398" name="矩形_17_SpCnt_117"/>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3" name="矩形_6_SpCnt_116"/>
                  <wp:cNvGraphicFramePr/>
                  <a:graphic xmlns:a="http://schemas.openxmlformats.org/drawingml/2006/main">
                    <a:graphicData uri="http://schemas.openxmlformats.org/drawingml/2006/picture">
                      <pic:pic xmlns:pic="http://schemas.openxmlformats.org/drawingml/2006/picture">
                        <pic:nvPicPr>
                          <pic:cNvPr id="2383" name="矩形_6_SpCnt_116"/>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0" name="矩形_16_SpCnt_117"/>
                  <wp:cNvGraphicFramePr/>
                  <a:graphic xmlns:a="http://schemas.openxmlformats.org/drawingml/2006/main">
                    <a:graphicData uri="http://schemas.openxmlformats.org/drawingml/2006/picture">
                      <pic:pic xmlns:pic="http://schemas.openxmlformats.org/drawingml/2006/picture">
                        <pic:nvPicPr>
                          <pic:cNvPr id="2380" name="矩形_16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82" name="矩形_17_SpCnt_118"/>
                  <wp:cNvGraphicFramePr/>
                  <a:graphic xmlns:a="http://schemas.openxmlformats.org/drawingml/2006/main">
                    <a:graphicData uri="http://schemas.openxmlformats.org/drawingml/2006/picture">
                      <pic:pic xmlns:pic="http://schemas.openxmlformats.org/drawingml/2006/picture">
                        <pic:nvPicPr>
                          <pic:cNvPr id="2382" name="矩形_17_SpCnt_11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1" name="矩形_4_SpCnt_119"/>
                  <wp:cNvGraphicFramePr/>
                  <a:graphic xmlns:a="http://schemas.openxmlformats.org/drawingml/2006/main">
                    <a:graphicData uri="http://schemas.openxmlformats.org/drawingml/2006/picture">
                      <pic:pic xmlns:pic="http://schemas.openxmlformats.org/drawingml/2006/picture">
                        <pic:nvPicPr>
                          <pic:cNvPr id="2391" name="矩形_4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4" name="矩形_6_SpCnt_117"/>
                  <wp:cNvGraphicFramePr/>
                  <a:graphic xmlns:a="http://schemas.openxmlformats.org/drawingml/2006/main">
                    <a:graphicData uri="http://schemas.openxmlformats.org/drawingml/2006/picture">
                      <pic:pic xmlns:pic="http://schemas.openxmlformats.org/drawingml/2006/picture">
                        <pic:nvPicPr>
                          <pic:cNvPr id="2394" name="矩形_6_SpCnt_117"/>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9" name="矩形_17_SpCnt_119"/>
                  <wp:cNvGraphicFramePr/>
                  <a:graphic xmlns:a="http://schemas.openxmlformats.org/drawingml/2006/main">
                    <a:graphicData uri="http://schemas.openxmlformats.org/drawingml/2006/picture">
                      <pic:pic xmlns:pic="http://schemas.openxmlformats.org/drawingml/2006/picture">
                        <pic:nvPicPr>
                          <pic:cNvPr id="2399" name="矩形_17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2" name="矩形_3_SpCnt_118"/>
                  <wp:cNvGraphicFramePr/>
                  <a:graphic xmlns:a="http://schemas.openxmlformats.org/drawingml/2006/main">
                    <a:graphicData uri="http://schemas.openxmlformats.org/drawingml/2006/picture">
                      <pic:pic xmlns:pic="http://schemas.openxmlformats.org/drawingml/2006/picture">
                        <pic:nvPicPr>
                          <pic:cNvPr id="2372" name="矩形_3_SpCnt_11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3" name="矩形_6_SpCnt_118"/>
                  <wp:cNvGraphicFramePr/>
                  <a:graphic xmlns:a="http://schemas.openxmlformats.org/drawingml/2006/main">
                    <a:graphicData uri="http://schemas.openxmlformats.org/drawingml/2006/picture">
                      <pic:pic xmlns:pic="http://schemas.openxmlformats.org/drawingml/2006/picture">
                        <pic:nvPicPr>
                          <pic:cNvPr id="2373" name="矩形_6_SpCnt_118"/>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2" name="矩形_3_SpCnt_119"/>
                  <wp:cNvGraphicFramePr/>
                  <a:graphic xmlns:a="http://schemas.openxmlformats.org/drawingml/2006/main">
                    <a:graphicData uri="http://schemas.openxmlformats.org/drawingml/2006/picture">
                      <pic:pic xmlns:pic="http://schemas.openxmlformats.org/drawingml/2006/picture">
                        <pic:nvPicPr>
                          <pic:cNvPr id="2392" name="矩形_3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9" name="矩形_9_SpCnt_119"/>
                  <wp:cNvGraphicFramePr/>
                  <a:graphic xmlns:a="http://schemas.openxmlformats.org/drawingml/2006/main">
                    <a:graphicData uri="http://schemas.openxmlformats.org/drawingml/2006/picture">
                      <pic:pic xmlns:pic="http://schemas.openxmlformats.org/drawingml/2006/picture">
                        <pic:nvPicPr>
                          <pic:cNvPr id="2379" name="矩形_9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93" name="矩形_6_SpCnt_119"/>
                  <wp:cNvGraphicFramePr/>
                  <a:graphic xmlns:a="http://schemas.openxmlformats.org/drawingml/2006/main">
                    <a:graphicData uri="http://schemas.openxmlformats.org/drawingml/2006/picture">
                      <pic:pic xmlns:pic="http://schemas.openxmlformats.org/drawingml/2006/picture">
                        <pic:nvPicPr>
                          <pic:cNvPr id="2393" name="矩形_6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802640" cy="562610"/>
                  <wp:effectExtent l="0" t="0" r="0" b="0"/>
                  <wp:wrapNone/>
                  <wp:docPr id="2395" name="矩形_16_SpCnt_118"/>
                  <wp:cNvGraphicFramePr/>
                  <a:graphic xmlns:a="http://schemas.openxmlformats.org/drawingml/2006/main">
                    <a:graphicData uri="http://schemas.openxmlformats.org/drawingml/2006/picture">
                      <pic:pic xmlns:pic="http://schemas.openxmlformats.org/drawingml/2006/picture">
                        <pic:nvPicPr>
                          <pic:cNvPr id="2395" name="矩形_16_SpCnt_118"/>
                          <pic:cNvPicPr/>
                        </pic:nvPicPr>
                        <pic:blipFill>
                          <a:blip r:embed="rId8"/>
                          <a:stretch>
                            <a:fillRect/>
                          </a:stretch>
                        </pic:blipFill>
                        <pic:spPr>
                          <a:xfrm>
                            <a:off x="0" y="0"/>
                            <a:ext cx="802640" cy="562610"/>
                          </a:xfrm>
                          <a:prstGeom prst="rect">
                            <a:avLst/>
                          </a:prstGeom>
                          <a:noFill/>
                          <a:ln>
                            <a:noFill/>
                          </a:ln>
                        </pic:spPr>
                      </pic:pic>
                    </a:graphicData>
                  </a:graphic>
                </wp:anchor>
              </w:drawing>
            </w:r>
            <w:r>
              <w:rPr>
                <w:rFonts w:hint="eastAsia" w:ascii="宋体" w:hAnsi="宋体" w:cs="仿宋_GB2312"/>
                <w:color w:val="0D0D0D" w:themeColor="text1" w:themeTint="F2"/>
                <w:kern w:val="0"/>
                <w:sz w:val="24"/>
                <w:bdr w:val="single" w:color="000000" w:sz="4" w:space="0"/>
                <w14:textFill>
                  <w14:solidFill>
                    <w14:schemeClr w14:val="tx1">
                      <w14:lumMod w14:val="95000"/>
                      <w14:lumOff w14:val="5000"/>
                    </w14:schemeClr>
                  </w14:solidFill>
                </w14:textFill>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802640" cy="517525"/>
                  <wp:effectExtent l="0" t="0" r="0" b="0"/>
                  <wp:wrapNone/>
                  <wp:docPr id="2374" name="矩形_16_SpCnt_119"/>
                  <wp:cNvGraphicFramePr/>
                  <a:graphic xmlns:a="http://schemas.openxmlformats.org/drawingml/2006/main">
                    <a:graphicData uri="http://schemas.openxmlformats.org/drawingml/2006/picture">
                      <pic:pic xmlns:pic="http://schemas.openxmlformats.org/drawingml/2006/picture">
                        <pic:nvPicPr>
                          <pic:cNvPr id="2374" name="矩形_16_SpCnt_119"/>
                          <pic:cNvPicPr/>
                        </pic:nvPicPr>
                        <pic:blipFill>
                          <a:blip r:embed="rId8"/>
                          <a:stretch>
                            <a:fillRect/>
                          </a:stretch>
                        </pic:blipFill>
                        <pic:spPr>
                          <a:xfrm>
                            <a:off x="0" y="0"/>
                            <a:ext cx="802640" cy="517525"/>
                          </a:xfrm>
                          <a:prstGeom prst="rect">
                            <a:avLst/>
                          </a:prstGeom>
                          <a:noFill/>
                          <a:ln>
                            <a:noFill/>
                          </a:ln>
                        </pic:spPr>
                      </pic:pic>
                    </a:graphicData>
                  </a:graphic>
                </wp:anchor>
              </w:drawing>
            </w: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新建</w:t>
            </w:r>
            <w:r>
              <w:rPr>
                <w:rStyle w:val="179"/>
                <w:rFonts w:hint="default" w:ascii="宋体" w:hAnsi="宋体"/>
                <w:color w:val="0D0D0D" w:themeColor="text1" w:themeTint="F2"/>
                <w14:textFill>
                  <w14:solidFill>
                    <w14:schemeClr w14:val="tx1">
                      <w14:lumMod w14:val="95000"/>
                      <w14:lumOff w14:val="5000"/>
                    </w14:schemeClr>
                  </w14:solidFill>
                </w14:textFill>
              </w:rPr>
              <w:t>500kV云城站（2×1000MVA），解口500kV卧龙～罗洞线路接入。</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CB7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D33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30200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DBE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A6D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30200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45CF">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39CFF8EE">
        <w:tblPrEx>
          <w:tblCellMar>
            <w:top w:w="0" w:type="dxa"/>
            <w:left w:w="0" w:type="dxa"/>
            <w:bottom w:w="0" w:type="dxa"/>
            <w:right w:w="0" w:type="dxa"/>
          </w:tblCellMar>
        </w:tblPrEx>
        <w:trPr>
          <w:trHeight w:val="186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802AE">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76</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4DB82">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220</w:t>
            </w:r>
            <w:r>
              <w:rPr>
                <w:rStyle w:val="179"/>
                <w:rFonts w:hint="default" w:ascii="宋体" w:hAnsi="宋体"/>
                <w:color w:val="0D0D0D" w:themeColor="text1" w:themeTint="F2"/>
                <w14:textFill>
                  <w14:solidFill>
                    <w14:schemeClr w14:val="tx1">
                      <w14:lumMod w14:val="95000"/>
                      <w14:lumOff w14:val="5000"/>
                    </w14:schemeClr>
                  </w14:solidFill>
                </w14:textFill>
              </w:rPr>
              <w:t>千伏金晟兰变电站接入系统工程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7301">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电网侧配套建设共创站，</w:t>
            </w:r>
            <w:r>
              <w:rPr>
                <w:rStyle w:val="179"/>
                <w:rFonts w:hint="default" w:ascii="宋体" w:hAnsi="宋体"/>
                <w:color w:val="0D0D0D" w:themeColor="text1" w:themeTint="F2"/>
                <w14:textFill>
                  <w14:solidFill>
                    <w14:schemeClr w14:val="tx1">
                      <w14:lumMod w14:val="95000"/>
                      <w14:lumOff w14:val="5000"/>
                    </w14:schemeClr>
                  </w14:solidFill>
                </w14:textFill>
              </w:rPr>
              <w:t>220kV金晟兰用户站220kV侧不设置母线，220kV降压变全部接入共创站220kV母线。共创站新建双回线路接入220kV硫都站，新建线路长度为2×9.4km，截面为2×630mm2。</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230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04C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16335</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9F1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7800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4EA4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8535</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F69B">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4E02E7E">
        <w:tblPrEx>
          <w:tblCellMar>
            <w:top w:w="0" w:type="dxa"/>
            <w:left w:w="0" w:type="dxa"/>
            <w:bottom w:w="0" w:type="dxa"/>
            <w:right w:w="0" w:type="dxa"/>
          </w:tblCellMar>
        </w:tblPrEx>
        <w:trPr>
          <w:trHeight w:val="6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DDCE">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77</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1BC8">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220</w:t>
            </w:r>
            <w:r>
              <w:rPr>
                <w:rStyle w:val="179"/>
                <w:rFonts w:hint="default" w:ascii="宋体" w:hAnsi="宋体"/>
                <w:color w:val="0D0D0D" w:themeColor="text1" w:themeTint="F2"/>
                <w14:textFill>
                  <w14:solidFill>
                    <w14:schemeClr w14:val="tx1">
                      <w14:lumMod w14:val="95000"/>
                      <w14:lumOff w14:val="5000"/>
                    </w14:schemeClr>
                  </w14:solidFill>
                </w14:textFill>
              </w:rPr>
              <w:t>千伏华润西江电厂接入工程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A9D7">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2回接入</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硫都站，</w:t>
            </w:r>
            <w:r>
              <w:rPr>
                <w:rStyle w:val="179"/>
                <w:rFonts w:hint="default" w:ascii="宋体" w:hAnsi="宋体"/>
                <w:color w:val="0D0D0D" w:themeColor="text1" w:themeTint="F2"/>
                <w14:textFill>
                  <w14:solidFill>
                    <w14:schemeClr w14:val="tx1">
                      <w14:lumMod w14:val="95000"/>
                      <w14:lumOff w14:val="5000"/>
                    </w14:schemeClr>
                  </w14:solidFill>
                </w14:textFill>
              </w:rPr>
              <w:t>2</w:t>
            </w:r>
            <w:r>
              <w:rPr>
                <w:rStyle w:val="180"/>
                <w:rFonts w:hint="default" w:ascii="宋体" w:hAnsi="宋体"/>
                <w:color w:val="0D0D0D" w:themeColor="text1" w:themeTint="F2"/>
                <w14:textFill>
                  <w14:solidFill>
                    <w14:schemeClr w14:val="tx1">
                      <w14:lumMod w14:val="95000"/>
                      <w14:lumOff w14:val="5000"/>
                    </w14:schemeClr>
                  </w14:solidFill>
                </w14:textFill>
              </w:rPr>
              <w:t>回接入</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珠山站。</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5294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2020-2023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033D">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12029</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D4C7">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A690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11929</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8DB9">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1DDD21E6">
        <w:tblPrEx>
          <w:tblCellMar>
            <w:top w:w="0" w:type="dxa"/>
            <w:left w:w="0" w:type="dxa"/>
            <w:bottom w:w="0" w:type="dxa"/>
            <w:right w:w="0" w:type="dxa"/>
          </w:tblCellMar>
        </w:tblPrEx>
        <w:trPr>
          <w:trHeight w:val="172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A903">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78</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232E">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220</w:t>
            </w:r>
            <w:r>
              <w:rPr>
                <w:rStyle w:val="179"/>
                <w:rFonts w:hint="default" w:ascii="宋体" w:hAnsi="宋体"/>
                <w:color w:val="0D0D0D" w:themeColor="text1" w:themeTint="F2"/>
                <w14:textFill>
                  <w14:solidFill>
                    <w14:schemeClr w14:val="tx1">
                      <w14:lumMod w14:val="95000"/>
                      <w14:lumOff w14:val="5000"/>
                    </w14:schemeClr>
                  </w14:solidFill>
                </w14:textFill>
              </w:rPr>
              <w:t>千伏广云输变电工程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E970B">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解口</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建云～云浮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厂～珠山，同时改接云浮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厂～睦岗接入广云站，最终形成广云站分别至云浮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厂、珠山、建云、睦岗各</w:t>
            </w:r>
            <w:r>
              <w:rPr>
                <w:rStyle w:val="179"/>
                <w:rFonts w:hint="default" w:ascii="宋体" w:hAnsi="宋体"/>
                <w:color w:val="0D0D0D" w:themeColor="text1" w:themeTint="F2"/>
                <w14:textFill>
                  <w14:solidFill>
                    <w14:schemeClr w14:val="tx1">
                      <w14:lumMod w14:val="95000"/>
                      <w14:lumOff w14:val="5000"/>
                    </w14:schemeClr>
                  </w14:solidFill>
                </w14:textFill>
              </w:rPr>
              <w:t>1</w:t>
            </w:r>
            <w:r>
              <w:rPr>
                <w:rStyle w:val="180"/>
                <w:rFonts w:hint="default" w:ascii="宋体" w:hAnsi="宋体"/>
                <w:color w:val="0D0D0D" w:themeColor="text1" w:themeTint="F2"/>
                <w14:textFill>
                  <w14:solidFill>
                    <w14:schemeClr w14:val="tx1">
                      <w14:lumMod w14:val="95000"/>
                      <w14:lumOff w14:val="5000"/>
                    </w14:schemeClr>
                  </w14:solidFill>
                </w14:textFill>
              </w:rPr>
              <w:t>回</w:t>
            </w:r>
            <w:r>
              <w:rPr>
                <w:rStyle w:val="179"/>
                <w:rFonts w:hint="default" w:ascii="宋体" w:hAnsi="宋体"/>
                <w:color w:val="0D0D0D" w:themeColor="text1" w:themeTint="F2"/>
                <w14:textFill>
                  <w14:solidFill>
                    <w14:schemeClr w14:val="tx1">
                      <w14:lumMod w14:val="95000"/>
                      <w14:lumOff w14:val="5000"/>
                    </w14:schemeClr>
                  </w14:solidFill>
                </w14:textFill>
              </w:rPr>
              <w:t>220kV</w:t>
            </w:r>
            <w:r>
              <w:rPr>
                <w:rStyle w:val="180"/>
                <w:rFonts w:hint="default" w:ascii="宋体" w:hAnsi="宋体"/>
                <w:color w:val="0D0D0D" w:themeColor="text1" w:themeTint="F2"/>
                <w14:textFill>
                  <w14:solidFill>
                    <w14:schemeClr w14:val="tx1">
                      <w14:lumMod w14:val="95000"/>
                      <w14:lumOff w14:val="5000"/>
                    </w14:schemeClr>
                  </w14:solidFill>
                </w14:textFill>
              </w:rPr>
              <w:t>线路。同时，将原近区接入云浮</w:t>
            </w:r>
            <w:r>
              <w:rPr>
                <w:rStyle w:val="179"/>
                <w:rFonts w:hint="default" w:ascii="宋体" w:hAnsi="宋体"/>
                <w:color w:val="0D0D0D" w:themeColor="text1" w:themeTint="F2"/>
                <w14:textFill>
                  <w14:solidFill>
                    <w14:schemeClr w14:val="tx1">
                      <w14:lumMod w14:val="95000"/>
                      <w14:lumOff w14:val="5000"/>
                    </w14:schemeClr>
                  </w14:solidFill>
                </w14:textFill>
              </w:rPr>
              <w:t>B</w:t>
            </w:r>
            <w:r>
              <w:rPr>
                <w:rStyle w:val="180"/>
                <w:rFonts w:hint="default" w:ascii="宋体" w:hAnsi="宋体"/>
                <w:color w:val="0D0D0D" w:themeColor="text1" w:themeTint="F2"/>
                <w14:textFill>
                  <w14:solidFill>
                    <w14:schemeClr w14:val="tx1">
                      <w14:lumMod w14:val="95000"/>
                      <w14:lumOff w14:val="5000"/>
                    </w14:schemeClr>
                  </w14:solidFill>
                </w14:textFill>
              </w:rPr>
              <w:t>厂的</w:t>
            </w:r>
            <w:r>
              <w:rPr>
                <w:rStyle w:val="179"/>
                <w:rFonts w:hint="default" w:ascii="宋体" w:hAnsi="宋体"/>
                <w:color w:val="0D0D0D" w:themeColor="text1" w:themeTint="F2"/>
                <w14:textFill>
                  <w14:solidFill>
                    <w14:schemeClr w14:val="tx1">
                      <w14:lumMod w14:val="95000"/>
                      <w14:lumOff w14:val="5000"/>
                    </w14:schemeClr>
                  </w14:solidFill>
                </w14:textFill>
              </w:rPr>
              <w:t>110kV</w:t>
            </w:r>
            <w:r>
              <w:rPr>
                <w:rStyle w:val="180"/>
                <w:rFonts w:hint="default" w:ascii="宋体" w:hAnsi="宋体"/>
                <w:color w:val="0D0D0D" w:themeColor="text1" w:themeTint="F2"/>
                <w14:textFill>
                  <w14:solidFill>
                    <w14:schemeClr w14:val="tx1">
                      <w14:lumMod w14:val="95000"/>
                      <w14:lumOff w14:val="5000"/>
                    </w14:schemeClr>
                  </w14:solidFill>
                </w14:textFill>
              </w:rPr>
              <w:t>线路全部接入广云站</w:t>
            </w:r>
            <w:r>
              <w:rPr>
                <w:rStyle w:val="179"/>
                <w:rFonts w:hint="default" w:ascii="宋体" w:hAnsi="宋体"/>
                <w:color w:val="0D0D0D" w:themeColor="text1" w:themeTint="F2"/>
                <w14:textFill>
                  <w14:solidFill>
                    <w14:schemeClr w14:val="tx1">
                      <w14:lumMod w14:val="95000"/>
                      <w14:lumOff w14:val="5000"/>
                    </w14:schemeClr>
                  </w14:solidFill>
                </w14:textFill>
              </w:rPr>
              <w:t>110kV</w:t>
            </w:r>
            <w:r>
              <w:rPr>
                <w:rStyle w:val="180"/>
                <w:rFonts w:hint="default" w:ascii="宋体" w:hAnsi="宋体"/>
                <w:color w:val="0D0D0D" w:themeColor="text1" w:themeTint="F2"/>
                <w14:textFill>
                  <w14:solidFill>
                    <w14:schemeClr w14:val="tx1">
                      <w14:lumMod w14:val="95000"/>
                      <w14:lumOff w14:val="5000"/>
                    </w14:schemeClr>
                  </w14:solidFill>
                </w14:textFill>
              </w:rPr>
              <w:t>母线。</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3639">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FB63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12050</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5FB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9080">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12050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3DFC">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7CC514CD">
        <w:tblPrEx>
          <w:tblCellMar>
            <w:top w:w="0" w:type="dxa"/>
            <w:left w:w="0" w:type="dxa"/>
            <w:bottom w:w="0" w:type="dxa"/>
            <w:right w:w="0" w:type="dxa"/>
          </w:tblCellMar>
        </w:tblPrEx>
        <w:trPr>
          <w:trHeight w:val="174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3CA1">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79</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0086">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云浮云城</w:t>
            </w:r>
            <w:r>
              <w:rPr>
                <w:rStyle w:val="179"/>
                <w:rFonts w:hint="default" w:ascii="宋体" w:hAnsi="宋体"/>
                <w:color w:val="0D0D0D" w:themeColor="text1" w:themeTint="F2"/>
                <w14:textFill>
                  <w14:solidFill>
                    <w14:schemeClr w14:val="tx1">
                      <w14:lumMod w14:val="95000"/>
                      <w14:lumOff w14:val="5000"/>
                    </w14:schemeClr>
                  </w14:solidFill>
                </w14:textFill>
              </w:rPr>
              <w:t>110kV</w:t>
            </w:r>
            <w:r>
              <w:rPr>
                <w:rStyle w:val="180"/>
                <w:rFonts w:hint="default" w:ascii="宋体" w:hAnsi="宋体"/>
                <w:color w:val="0D0D0D" w:themeColor="text1" w:themeTint="F2"/>
                <w14:textFill>
                  <w14:solidFill>
                    <w14:schemeClr w14:val="tx1">
                      <w14:lumMod w14:val="95000"/>
                      <w14:lumOff w14:val="5000"/>
                    </w14:schemeClr>
                  </w14:solidFill>
                </w14:textFill>
              </w:rPr>
              <w:t>大朗输变电工程</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6D2F">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在云城区云城街道新建110kV变电站，最终主变容量3x63MVA，本期主变容量63MVA，4回出线：新建2回单解接入220kV天马站，新建2回线接入110kV星岩站。</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137B">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2023-2025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641B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12882</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3B781">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51008">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12882</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5226">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r w14:paraId="55DB9259">
        <w:tblPrEx>
          <w:tblCellMar>
            <w:top w:w="0" w:type="dxa"/>
            <w:left w:w="0" w:type="dxa"/>
            <w:bottom w:w="0" w:type="dxa"/>
            <w:right w:w="0" w:type="dxa"/>
          </w:tblCellMar>
        </w:tblPrEx>
        <w:trPr>
          <w:trHeight w:val="900" w:hRule="atLeast"/>
        </w:trPr>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415F">
            <w:pPr>
              <w:widowControl/>
              <w:spacing w:line="38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sz w:val="24"/>
                <w14:textFill>
                  <w14:solidFill>
                    <w14:schemeClr w14:val="tx1">
                      <w14:lumMod w14:val="95000"/>
                      <w14:lumOff w14:val="5000"/>
                    </w14:schemeClr>
                  </w14:solidFill>
                </w14:textFill>
              </w:rPr>
              <w:t>80</w:t>
            </w:r>
          </w:p>
        </w:tc>
        <w:tc>
          <w:tcPr>
            <w:tcW w:w="1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F8D8">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10(20)kV及以下配电网基建项目</w:t>
            </w:r>
          </w:p>
        </w:tc>
        <w:tc>
          <w:tcPr>
            <w:tcW w:w="1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EF80">
            <w:pPr>
              <w:widowControl/>
              <w:spacing w:line="380" w:lineRule="exact"/>
              <w:jc w:val="left"/>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新建10kV线路52回，新建（改造）长度378kM，新建（改造）配电变压器385台，容量160210kVA等。</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D5FC">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2021-2025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B97FA">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105541</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730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6C46">
            <w:pPr>
              <w:widowControl/>
              <w:spacing w:line="440" w:lineRule="exact"/>
              <w:jc w:val="center"/>
              <w:textAlignment w:val="center"/>
              <w:rPr>
                <w:rFonts w:ascii="宋体" w:hAnsi="宋体" w:cs="仿宋_GB2312"/>
                <w:color w:val="0D0D0D" w:themeColor="text1" w:themeTint="F2"/>
                <w:sz w:val="24"/>
                <w14:textFill>
                  <w14:solidFill>
                    <w14:schemeClr w14:val="tx1">
                      <w14:lumMod w14:val="95000"/>
                      <w14:lumOff w14:val="5000"/>
                    </w14:schemeClr>
                  </w14:solidFill>
                </w14:textFill>
              </w:rPr>
            </w:pPr>
            <w:r>
              <w:rPr>
                <w:rFonts w:hint="eastAsia" w:ascii="宋体" w:hAnsi="宋体" w:cs="仿宋_GB2312"/>
                <w:color w:val="0D0D0D" w:themeColor="text1" w:themeTint="F2"/>
                <w:kern w:val="0"/>
                <w:sz w:val="24"/>
                <w14:textFill>
                  <w14:solidFill>
                    <w14:schemeClr w14:val="tx1">
                      <w14:lumMod w14:val="95000"/>
                      <w14:lumOff w14:val="5000"/>
                    </w14:schemeClr>
                  </w14:solidFill>
                </w14:textFill>
              </w:rPr>
              <w:t>105541</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1F3F">
            <w:pPr>
              <w:spacing w:line="440" w:lineRule="exact"/>
              <w:rPr>
                <w:rFonts w:ascii="宋体" w:hAnsi="宋体" w:cs="仿宋_GB2312"/>
                <w:color w:val="0D0D0D" w:themeColor="text1" w:themeTint="F2"/>
                <w:sz w:val="24"/>
                <w14:textFill>
                  <w14:solidFill>
                    <w14:schemeClr w14:val="tx1">
                      <w14:lumMod w14:val="95000"/>
                      <w14:lumOff w14:val="5000"/>
                    </w14:schemeClr>
                  </w14:solidFill>
                </w14:textFill>
              </w:rPr>
            </w:pPr>
          </w:p>
        </w:tc>
      </w:tr>
    </w:tbl>
    <w:p w14:paraId="1F31DA5A">
      <w:pPr>
        <w:pStyle w:val="17"/>
        <w:spacing w:line="600" w:lineRule="exact"/>
        <w:ind w:left="0" w:leftChars="0" w:firstLine="0" w:firstLineChars="0"/>
        <w:rPr>
          <w:rFonts w:ascii="宋体" w:hAnsi="宋体"/>
          <w:color w:val="0D0D0D" w:themeColor="text1" w:themeTint="F2"/>
          <w:szCs w:val="32"/>
          <w14:textFill>
            <w14:solidFill>
              <w14:schemeClr w14:val="tx1">
                <w14:lumMod w14:val="95000"/>
                <w14:lumOff w14:val="5000"/>
              </w14:schemeClr>
            </w14:solidFill>
          </w14:textFill>
        </w:rPr>
      </w:pPr>
    </w:p>
    <w:sectPr>
      <w:pgSz w:w="16838" w:h="11906" w:orient="landscape"/>
      <w:pgMar w:top="1418" w:right="1588" w:bottom="1418" w:left="1588" w:header="851" w:footer="992" w:gutter="0"/>
      <w:cols w:space="425"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Verdana">
    <w:altName w:val="DejaVu Sans"/>
    <w:panose1 w:val="020B0604030504040204"/>
    <w:charset w:val="00"/>
    <w:family w:val="swiss"/>
    <w:pitch w:val="default"/>
    <w:sig w:usb0="00000000" w:usb1="00000000" w:usb2="00000010" w:usb3="00000000" w:csb0="0000019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972768"/>
      <w:showingPlcHdr/>
    </w:sdtPr>
    <w:sdtEndPr>
      <w:rPr>
        <w:rFonts w:ascii="宋体" w:hAnsi="宋体"/>
        <w:sz w:val="21"/>
        <w:szCs w:val="21"/>
      </w:rPr>
    </w:sdtEndPr>
    <w:sdtContent>
      <w:p w14:paraId="53BBB162">
        <w:pPr>
          <w:pStyle w:val="13"/>
          <w:jc w:val="center"/>
          <w:rPr>
            <w:rFonts w:ascii="宋体" w:hAnsi="宋体"/>
            <w:sz w:val="21"/>
            <w:szCs w:val="21"/>
          </w:rPr>
        </w:pPr>
      </w:p>
    </w:sdtContent>
  </w:sdt>
  <w:p w14:paraId="6574441C">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605449"/>
    </w:sdtPr>
    <w:sdtContent>
      <w:p w14:paraId="474D1ABF">
        <w:pPr>
          <w:pStyle w:val="13"/>
          <w:jc w:val="center"/>
        </w:pPr>
        <w:r>
          <w:fldChar w:fldCharType="begin"/>
        </w:r>
        <w:r>
          <w:instrText xml:space="preserve">PAGE   \* MERGEFORMAT</w:instrText>
        </w:r>
        <w:r>
          <w:fldChar w:fldCharType="separate"/>
        </w:r>
        <w:r>
          <w:rPr>
            <w:lang w:val="zh-CN"/>
          </w:rPr>
          <w:t>84</w:t>
        </w:r>
        <w:r>
          <w:rPr>
            <w:lang w:val="zh-CN"/>
          </w:rPr>
          <w:fldChar w:fldCharType="end"/>
        </w:r>
      </w:p>
    </w:sdtContent>
  </w:sdt>
  <w:p w14:paraId="2B113FE8">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34B4788">
        <w:pPr>
          <w:pStyle w:val="13"/>
          <w:jc w:val="center"/>
        </w:pPr>
        <w:r>
          <w:fldChar w:fldCharType="begin"/>
        </w:r>
        <w:r>
          <w:instrText xml:space="preserve">PAGE   \* MERGEFORMAT</w:instrText>
        </w:r>
        <w:r>
          <w:fldChar w:fldCharType="separate"/>
        </w:r>
        <w:r>
          <w:rPr>
            <w:lang w:val="zh-CN"/>
          </w:rPr>
          <w:t>113</w:t>
        </w:r>
        <w:r>
          <w:rPr>
            <w:lang w:val="zh-CN"/>
          </w:rPr>
          <w:fldChar w:fldCharType="end"/>
        </w:r>
      </w:p>
    </w:sdtContent>
  </w:sdt>
  <w:p w14:paraId="440CA436">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CF9A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65F2D"/>
    <w:multiLevelType w:val="multilevel"/>
    <w:tmpl w:val="6D065F2D"/>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62"/>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83"/>
    <w:rsid w:val="00000BF1"/>
    <w:rsid w:val="000013B7"/>
    <w:rsid w:val="000014D2"/>
    <w:rsid w:val="00001897"/>
    <w:rsid w:val="00002281"/>
    <w:rsid w:val="00002B3A"/>
    <w:rsid w:val="000030A6"/>
    <w:rsid w:val="00003917"/>
    <w:rsid w:val="00004E87"/>
    <w:rsid w:val="000057B0"/>
    <w:rsid w:val="00005C9D"/>
    <w:rsid w:val="00007263"/>
    <w:rsid w:val="00007B12"/>
    <w:rsid w:val="00007FB0"/>
    <w:rsid w:val="00010A48"/>
    <w:rsid w:val="00011347"/>
    <w:rsid w:val="0001167B"/>
    <w:rsid w:val="00012579"/>
    <w:rsid w:val="000145AB"/>
    <w:rsid w:val="00015248"/>
    <w:rsid w:val="000165F0"/>
    <w:rsid w:val="00016CD8"/>
    <w:rsid w:val="00020043"/>
    <w:rsid w:val="00021323"/>
    <w:rsid w:val="00024665"/>
    <w:rsid w:val="00025FB6"/>
    <w:rsid w:val="00026ABC"/>
    <w:rsid w:val="00030253"/>
    <w:rsid w:val="0003110C"/>
    <w:rsid w:val="00031DA3"/>
    <w:rsid w:val="00032A3C"/>
    <w:rsid w:val="0003401B"/>
    <w:rsid w:val="00034C51"/>
    <w:rsid w:val="00036212"/>
    <w:rsid w:val="0003782D"/>
    <w:rsid w:val="00040733"/>
    <w:rsid w:val="000409AD"/>
    <w:rsid w:val="0004206E"/>
    <w:rsid w:val="0004299C"/>
    <w:rsid w:val="000429D4"/>
    <w:rsid w:val="00044304"/>
    <w:rsid w:val="0004489A"/>
    <w:rsid w:val="0004549D"/>
    <w:rsid w:val="000456C0"/>
    <w:rsid w:val="00047744"/>
    <w:rsid w:val="00050119"/>
    <w:rsid w:val="00050A1C"/>
    <w:rsid w:val="00050F28"/>
    <w:rsid w:val="00051B86"/>
    <w:rsid w:val="000525F4"/>
    <w:rsid w:val="000531E8"/>
    <w:rsid w:val="00053E9B"/>
    <w:rsid w:val="000542CA"/>
    <w:rsid w:val="00054B14"/>
    <w:rsid w:val="000562B0"/>
    <w:rsid w:val="00056D9F"/>
    <w:rsid w:val="00057C79"/>
    <w:rsid w:val="00057F45"/>
    <w:rsid w:val="00060E33"/>
    <w:rsid w:val="000611CC"/>
    <w:rsid w:val="00061A6A"/>
    <w:rsid w:val="0006288C"/>
    <w:rsid w:val="000629C8"/>
    <w:rsid w:val="00062E9C"/>
    <w:rsid w:val="00063AD3"/>
    <w:rsid w:val="0006491F"/>
    <w:rsid w:val="0006592C"/>
    <w:rsid w:val="000659E2"/>
    <w:rsid w:val="000676B9"/>
    <w:rsid w:val="00067B00"/>
    <w:rsid w:val="00067CAD"/>
    <w:rsid w:val="00072F44"/>
    <w:rsid w:val="00073BE9"/>
    <w:rsid w:val="000757BD"/>
    <w:rsid w:val="0007606C"/>
    <w:rsid w:val="00076DBE"/>
    <w:rsid w:val="0007718E"/>
    <w:rsid w:val="000779F6"/>
    <w:rsid w:val="000816D2"/>
    <w:rsid w:val="00081A58"/>
    <w:rsid w:val="00081FD5"/>
    <w:rsid w:val="00082703"/>
    <w:rsid w:val="00082B95"/>
    <w:rsid w:val="00083975"/>
    <w:rsid w:val="0008561A"/>
    <w:rsid w:val="000878DE"/>
    <w:rsid w:val="00090ED6"/>
    <w:rsid w:val="0009115C"/>
    <w:rsid w:val="000912F1"/>
    <w:rsid w:val="000934BE"/>
    <w:rsid w:val="00094C1C"/>
    <w:rsid w:val="00094E98"/>
    <w:rsid w:val="000957E6"/>
    <w:rsid w:val="00097275"/>
    <w:rsid w:val="00097356"/>
    <w:rsid w:val="00097D67"/>
    <w:rsid w:val="00097FA8"/>
    <w:rsid w:val="000A0AE4"/>
    <w:rsid w:val="000A0D54"/>
    <w:rsid w:val="000A23D1"/>
    <w:rsid w:val="000A2662"/>
    <w:rsid w:val="000A3DCD"/>
    <w:rsid w:val="000A3E72"/>
    <w:rsid w:val="000A3FCC"/>
    <w:rsid w:val="000A5005"/>
    <w:rsid w:val="000A54CA"/>
    <w:rsid w:val="000A5668"/>
    <w:rsid w:val="000A5D69"/>
    <w:rsid w:val="000A6124"/>
    <w:rsid w:val="000A6D7C"/>
    <w:rsid w:val="000A725A"/>
    <w:rsid w:val="000B0BFE"/>
    <w:rsid w:val="000B173B"/>
    <w:rsid w:val="000B1CB1"/>
    <w:rsid w:val="000B2024"/>
    <w:rsid w:val="000B4797"/>
    <w:rsid w:val="000B59E2"/>
    <w:rsid w:val="000B6E2F"/>
    <w:rsid w:val="000B7698"/>
    <w:rsid w:val="000C1506"/>
    <w:rsid w:val="000C1FC1"/>
    <w:rsid w:val="000C2754"/>
    <w:rsid w:val="000C2884"/>
    <w:rsid w:val="000C423F"/>
    <w:rsid w:val="000C5B7F"/>
    <w:rsid w:val="000C5C17"/>
    <w:rsid w:val="000C6861"/>
    <w:rsid w:val="000C7220"/>
    <w:rsid w:val="000C7648"/>
    <w:rsid w:val="000C7AD5"/>
    <w:rsid w:val="000D0223"/>
    <w:rsid w:val="000D0637"/>
    <w:rsid w:val="000D1AD9"/>
    <w:rsid w:val="000D22A2"/>
    <w:rsid w:val="000D42FD"/>
    <w:rsid w:val="000D4A8F"/>
    <w:rsid w:val="000D4FD3"/>
    <w:rsid w:val="000D54BC"/>
    <w:rsid w:val="000D5B6E"/>
    <w:rsid w:val="000D6087"/>
    <w:rsid w:val="000E2635"/>
    <w:rsid w:val="000E2F9F"/>
    <w:rsid w:val="000E31C3"/>
    <w:rsid w:val="000E34C1"/>
    <w:rsid w:val="000E3A4C"/>
    <w:rsid w:val="000E3B5C"/>
    <w:rsid w:val="000E454E"/>
    <w:rsid w:val="000E4623"/>
    <w:rsid w:val="000E548C"/>
    <w:rsid w:val="000E6247"/>
    <w:rsid w:val="000E6389"/>
    <w:rsid w:val="000E7418"/>
    <w:rsid w:val="000E76D8"/>
    <w:rsid w:val="000E7862"/>
    <w:rsid w:val="000F0E6A"/>
    <w:rsid w:val="000F1B6E"/>
    <w:rsid w:val="000F25ED"/>
    <w:rsid w:val="000F3B2F"/>
    <w:rsid w:val="000F3FE9"/>
    <w:rsid w:val="000F4016"/>
    <w:rsid w:val="000F43F0"/>
    <w:rsid w:val="000F5AD2"/>
    <w:rsid w:val="000F5D91"/>
    <w:rsid w:val="000F5DC0"/>
    <w:rsid w:val="000F6750"/>
    <w:rsid w:val="000F6965"/>
    <w:rsid w:val="000F6994"/>
    <w:rsid w:val="000F75C7"/>
    <w:rsid w:val="000F7D40"/>
    <w:rsid w:val="00100B53"/>
    <w:rsid w:val="00100C08"/>
    <w:rsid w:val="001015D6"/>
    <w:rsid w:val="0010305F"/>
    <w:rsid w:val="00104079"/>
    <w:rsid w:val="00106221"/>
    <w:rsid w:val="00106FD7"/>
    <w:rsid w:val="00107993"/>
    <w:rsid w:val="00111577"/>
    <w:rsid w:val="0011222C"/>
    <w:rsid w:val="00112DD6"/>
    <w:rsid w:val="00113932"/>
    <w:rsid w:val="00114DDD"/>
    <w:rsid w:val="00115097"/>
    <w:rsid w:val="001155D9"/>
    <w:rsid w:val="00115EBD"/>
    <w:rsid w:val="00120852"/>
    <w:rsid w:val="001221F0"/>
    <w:rsid w:val="00122CD9"/>
    <w:rsid w:val="00125216"/>
    <w:rsid w:val="00125526"/>
    <w:rsid w:val="001261F8"/>
    <w:rsid w:val="00127450"/>
    <w:rsid w:val="00127B6A"/>
    <w:rsid w:val="001301CB"/>
    <w:rsid w:val="0013079C"/>
    <w:rsid w:val="00131165"/>
    <w:rsid w:val="0013118D"/>
    <w:rsid w:val="001316B5"/>
    <w:rsid w:val="001318F9"/>
    <w:rsid w:val="00131BBF"/>
    <w:rsid w:val="00132114"/>
    <w:rsid w:val="00132B04"/>
    <w:rsid w:val="001347FF"/>
    <w:rsid w:val="00134A43"/>
    <w:rsid w:val="00134AE8"/>
    <w:rsid w:val="0013610C"/>
    <w:rsid w:val="00136718"/>
    <w:rsid w:val="00137342"/>
    <w:rsid w:val="00137B20"/>
    <w:rsid w:val="00137E8D"/>
    <w:rsid w:val="001403B0"/>
    <w:rsid w:val="00140400"/>
    <w:rsid w:val="00140ACB"/>
    <w:rsid w:val="00141270"/>
    <w:rsid w:val="00143A18"/>
    <w:rsid w:val="00146399"/>
    <w:rsid w:val="00146487"/>
    <w:rsid w:val="001479A9"/>
    <w:rsid w:val="0015034E"/>
    <w:rsid w:val="001504A0"/>
    <w:rsid w:val="00151074"/>
    <w:rsid w:val="001518FA"/>
    <w:rsid w:val="00151AF3"/>
    <w:rsid w:val="00152C67"/>
    <w:rsid w:val="00152EBB"/>
    <w:rsid w:val="00152F71"/>
    <w:rsid w:val="00152F89"/>
    <w:rsid w:val="001545DA"/>
    <w:rsid w:val="001547DD"/>
    <w:rsid w:val="00154D6A"/>
    <w:rsid w:val="00155471"/>
    <w:rsid w:val="0015618E"/>
    <w:rsid w:val="00157BC4"/>
    <w:rsid w:val="00157DDB"/>
    <w:rsid w:val="00160516"/>
    <w:rsid w:val="0016072B"/>
    <w:rsid w:val="0016072F"/>
    <w:rsid w:val="001608E1"/>
    <w:rsid w:val="001614A3"/>
    <w:rsid w:val="0016154F"/>
    <w:rsid w:val="00161C22"/>
    <w:rsid w:val="00162306"/>
    <w:rsid w:val="001624CB"/>
    <w:rsid w:val="001630B8"/>
    <w:rsid w:val="0016310F"/>
    <w:rsid w:val="001634FE"/>
    <w:rsid w:val="0016387C"/>
    <w:rsid w:val="00163900"/>
    <w:rsid w:val="00164282"/>
    <w:rsid w:val="00164600"/>
    <w:rsid w:val="001663C2"/>
    <w:rsid w:val="0016693C"/>
    <w:rsid w:val="00166CE7"/>
    <w:rsid w:val="00167012"/>
    <w:rsid w:val="0016755E"/>
    <w:rsid w:val="001702F0"/>
    <w:rsid w:val="00170A19"/>
    <w:rsid w:val="00170F14"/>
    <w:rsid w:val="0017285F"/>
    <w:rsid w:val="00173216"/>
    <w:rsid w:val="001743AE"/>
    <w:rsid w:val="00174450"/>
    <w:rsid w:val="001748AD"/>
    <w:rsid w:val="00175DC7"/>
    <w:rsid w:val="00180109"/>
    <w:rsid w:val="0018178F"/>
    <w:rsid w:val="00183A90"/>
    <w:rsid w:val="00184291"/>
    <w:rsid w:val="00184483"/>
    <w:rsid w:val="00184F2E"/>
    <w:rsid w:val="0018584B"/>
    <w:rsid w:val="00185DCF"/>
    <w:rsid w:val="0018695A"/>
    <w:rsid w:val="0018713E"/>
    <w:rsid w:val="00187659"/>
    <w:rsid w:val="00191EB0"/>
    <w:rsid w:val="0019216E"/>
    <w:rsid w:val="001936DD"/>
    <w:rsid w:val="001940C4"/>
    <w:rsid w:val="001961DE"/>
    <w:rsid w:val="0019673A"/>
    <w:rsid w:val="00196C14"/>
    <w:rsid w:val="00196CCC"/>
    <w:rsid w:val="00197478"/>
    <w:rsid w:val="00197778"/>
    <w:rsid w:val="00197930"/>
    <w:rsid w:val="00197D28"/>
    <w:rsid w:val="001A06CD"/>
    <w:rsid w:val="001A11B7"/>
    <w:rsid w:val="001A3083"/>
    <w:rsid w:val="001A3988"/>
    <w:rsid w:val="001A52BA"/>
    <w:rsid w:val="001A56C3"/>
    <w:rsid w:val="001A59A7"/>
    <w:rsid w:val="001A79E1"/>
    <w:rsid w:val="001A7D7D"/>
    <w:rsid w:val="001B25A7"/>
    <w:rsid w:val="001B2B5D"/>
    <w:rsid w:val="001B2C3D"/>
    <w:rsid w:val="001B2EE3"/>
    <w:rsid w:val="001B4A59"/>
    <w:rsid w:val="001B62C3"/>
    <w:rsid w:val="001B69A8"/>
    <w:rsid w:val="001B6C7C"/>
    <w:rsid w:val="001B71A8"/>
    <w:rsid w:val="001B71EE"/>
    <w:rsid w:val="001B720D"/>
    <w:rsid w:val="001B75E0"/>
    <w:rsid w:val="001B7827"/>
    <w:rsid w:val="001B7965"/>
    <w:rsid w:val="001B7FF9"/>
    <w:rsid w:val="001C07E7"/>
    <w:rsid w:val="001C1AB9"/>
    <w:rsid w:val="001C1E54"/>
    <w:rsid w:val="001C1E57"/>
    <w:rsid w:val="001C2400"/>
    <w:rsid w:val="001C2DA9"/>
    <w:rsid w:val="001C3806"/>
    <w:rsid w:val="001C54E1"/>
    <w:rsid w:val="001C5E7C"/>
    <w:rsid w:val="001C7E18"/>
    <w:rsid w:val="001D14FD"/>
    <w:rsid w:val="001D165E"/>
    <w:rsid w:val="001D1711"/>
    <w:rsid w:val="001D3F9A"/>
    <w:rsid w:val="001D4A54"/>
    <w:rsid w:val="001D50F0"/>
    <w:rsid w:val="001D5A05"/>
    <w:rsid w:val="001D6DB6"/>
    <w:rsid w:val="001D7170"/>
    <w:rsid w:val="001D7FA2"/>
    <w:rsid w:val="001E0744"/>
    <w:rsid w:val="001E38AC"/>
    <w:rsid w:val="001E3B1A"/>
    <w:rsid w:val="001E478E"/>
    <w:rsid w:val="001E4AB0"/>
    <w:rsid w:val="001E5FFC"/>
    <w:rsid w:val="001E6B4A"/>
    <w:rsid w:val="001E6E73"/>
    <w:rsid w:val="001E7160"/>
    <w:rsid w:val="001F1D40"/>
    <w:rsid w:val="001F27DD"/>
    <w:rsid w:val="001F28E1"/>
    <w:rsid w:val="001F3164"/>
    <w:rsid w:val="001F542E"/>
    <w:rsid w:val="001F5826"/>
    <w:rsid w:val="001F5A11"/>
    <w:rsid w:val="001F74B0"/>
    <w:rsid w:val="002006B6"/>
    <w:rsid w:val="00200BB6"/>
    <w:rsid w:val="00201E36"/>
    <w:rsid w:val="00203FE4"/>
    <w:rsid w:val="0020479C"/>
    <w:rsid w:val="00204D7E"/>
    <w:rsid w:val="00204DF9"/>
    <w:rsid w:val="0020503B"/>
    <w:rsid w:val="002053B1"/>
    <w:rsid w:val="00206BFF"/>
    <w:rsid w:val="00207F75"/>
    <w:rsid w:val="00210048"/>
    <w:rsid w:val="00210335"/>
    <w:rsid w:val="00210698"/>
    <w:rsid w:val="00211135"/>
    <w:rsid w:val="00211737"/>
    <w:rsid w:val="002127D1"/>
    <w:rsid w:val="002129AD"/>
    <w:rsid w:val="00212EF8"/>
    <w:rsid w:val="00212FE1"/>
    <w:rsid w:val="00215279"/>
    <w:rsid w:val="00215F7E"/>
    <w:rsid w:val="00217035"/>
    <w:rsid w:val="002176F0"/>
    <w:rsid w:val="00217956"/>
    <w:rsid w:val="002212D7"/>
    <w:rsid w:val="00221D7A"/>
    <w:rsid w:val="002229B8"/>
    <w:rsid w:val="002229C9"/>
    <w:rsid w:val="00223AE5"/>
    <w:rsid w:val="00224018"/>
    <w:rsid w:val="0022409C"/>
    <w:rsid w:val="00224F82"/>
    <w:rsid w:val="00226F3C"/>
    <w:rsid w:val="0022745C"/>
    <w:rsid w:val="0023052B"/>
    <w:rsid w:val="002316F9"/>
    <w:rsid w:val="00231F62"/>
    <w:rsid w:val="002331AE"/>
    <w:rsid w:val="00233625"/>
    <w:rsid w:val="00233D21"/>
    <w:rsid w:val="00233E1D"/>
    <w:rsid w:val="0023433B"/>
    <w:rsid w:val="00236E52"/>
    <w:rsid w:val="00236FA1"/>
    <w:rsid w:val="00240A6F"/>
    <w:rsid w:val="002434BC"/>
    <w:rsid w:val="00243E54"/>
    <w:rsid w:val="002447D8"/>
    <w:rsid w:val="00244BE2"/>
    <w:rsid w:val="00245EED"/>
    <w:rsid w:val="00246092"/>
    <w:rsid w:val="00246B46"/>
    <w:rsid w:val="00246C79"/>
    <w:rsid w:val="002479C4"/>
    <w:rsid w:val="00247A76"/>
    <w:rsid w:val="002500D4"/>
    <w:rsid w:val="002503A6"/>
    <w:rsid w:val="00250C77"/>
    <w:rsid w:val="00251370"/>
    <w:rsid w:val="0025146B"/>
    <w:rsid w:val="002518A2"/>
    <w:rsid w:val="00251ADE"/>
    <w:rsid w:val="00251CB6"/>
    <w:rsid w:val="00252C12"/>
    <w:rsid w:val="00254824"/>
    <w:rsid w:val="00255042"/>
    <w:rsid w:val="00257A45"/>
    <w:rsid w:val="00257FC9"/>
    <w:rsid w:val="002606E1"/>
    <w:rsid w:val="002616C2"/>
    <w:rsid w:val="0026200A"/>
    <w:rsid w:val="00262370"/>
    <w:rsid w:val="002628A5"/>
    <w:rsid w:val="00262A48"/>
    <w:rsid w:val="00264609"/>
    <w:rsid w:val="00264EFA"/>
    <w:rsid w:val="00267798"/>
    <w:rsid w:val="00271B04"/>
    <w:rsid w:val="00271B5F"/>
    <w:rsid w:val="00272F76"/>
    <w:rsid w:val="002736CD"/>
    <w:rsid w:val="0027382C"/>
    <w:rsid w:val="0027390C"/>
    <w:rsid w:val="0027613F"/>
    <w:rsid w:val="00277125"/>
    <w:rsid w:val="00277696"/>
    <w:rsid w:val="00280A0B"/>
    <w:rsid w:val="00280D53"/>
    <w:rsid w:val="0028175C"/>
    <w:rsid w:val="00283167"/>
    <w:rsid w:val="00284BD5"/>
    <w:rsid w:val="002858B4"/>
    <w:rsid w:val="002858E9"/>
    <w:rsid w:val="00285A21"/>
    <w:rsid w:val="00285BD3"/>
    <w:rsid w:val="00287249"/>
    <w:rsid w:val="0028733F"/>
    <w:rsid w:val="0029093D"/>
    <w:rsid w:val="00290BE6"/>
    <w:rsid w:val="0029180A"/>
    <w:rsid w:val="0029185E"/>
    <w:rsid w:val="00291893"/>
    <w:rsid w:val="00292A2A"/>
    <w:rsid w:val="00297B40"/>
    <w:rsid w:val="00297E36"/>
    <w:rsid w:val="002A0753"/>
    <w:rsid w:val="002A0FC8"/>
    <w:rsid w:val="002A2EB9"/>
    <w:rsid w:val="002A42C7"/>
    <w:rsid w:val="002A4614"/>
    <w:rsid w:val="002A4B3E"/>
    <w:rsid w:val="002A4E18"/>
    <w:rsid w:val="002A6466"/>
    <w:rsid w:val="002A7B1C"/>
    <w:rsid w:val="002B0D04"/>
    <w:rsid w:val="002B1A14"/>
    <w:rsid w:val="002B1B9F"/>
    <w:rsid w:val="002B1F39"/>
    <w:rsid w:val="002B3420"/>
    <w:rsid w:val="002B60B5"/>
    <w:rsid w:val="002B7601"/>
    <w:rsid w:val="002C0AD3"/>
    <w:rsid w:val="002C0AD8"/>
    <w:rsid w:val="002C1045"/>
    <w:rsid w:val="002C1119"/>
    <w:rsid w:val="002C153B"/>
    <w:rsid w:val="002C2B27"/>
    <w:rsid w:val="002C320E"/>
    <w:rsid w:val="002C3BA0"/>
    <w:rsid w:val="002C4D39"/>
    <w:rsid w:val="002C5764"/>
    <w:rsid w:val="002C7DAC"/>
    <w:rsid w:val="002D01C9"/>
    <w:rsid w:val="002D0392"/>
    <w:rsid w:val="002D06AD"/>
    <w:rsid w:val="002D0C2A"/>
    <w:rsid w:val="002D0F68"/>
    <w:rsid w:val="002D2091"/>
    <w:rsid w:val="002D2A3A"/>
    <w:rsid w:val="002D3DCF"/>
    <w:rsid w:val="002D5E5A"/>
    <w:rsid w:val="002D608D"/>
    <w:rsid w:val="002D656A"/>
    <w:rsid w:val="002D6A4B"/>
    <w:rsid w:val="002D748F"/>
    <w:rsid w:val="002E0D33"/>
    <w:rsid w:val="002E198E"/>
    <w:rsid w:val="002E1A0D"/>
    <w:rsid w:val="002E1FDA"/>
    <w:rsid w:val="002E2164"/>
    <w:rsid w:val="002E21F0"/>
    <w:rsid w:val="002E2E1C"/>
    <w:rsid w:val="002E3803"/>
    <w:rsid w:val="002E3C27"/>
    <w:rsid w:val="002E4EE0"/>
    <w:rsid w:val="002E5036"/>
    <w:rsid w:val="002E59F7"/>
    <w:rsid w:val="002E5BB3"/>
    <w:rsid w:val="002E5D4B"/>
    <w:rsid w:val="002E7932"/>
    <w:rsid w:val="002F15F7"/>
    <w:rsid w:val="002F2EC1"/>
    <w:rsid w:val="002F3B24"/>
    <w:rsid w:val="002F3CA2"/>
    <w:rsid w:val="002F40D1"/>
    <w:rsid w:val="002F4762"/>
    <w:rsid w:val="002F7294"/>
    <w:rsid w:val="00300258"/>
    <w:rsid w:val="00301372"/>
    <w:rsid w:val="00302215"/>
    <w:rsid w:val="00302710"/>
    <w:rsid w:val="00302B78"/>
    <w:rsid w:val="00302D35"/>
    <w:rsid w:val="00302FD9"/>
    <w:rsid w:val="003041BA"/>
    <w:rsid w:val="00306136"/>
    <w:rsid w:val="003062C4"/>
    <w:rsid w:val="00307613"/>
    <w:rsid w:val="00310134"/>
    <w:rsid w:val="003108BD"/>
    <w:rsid w:val="0031307D"/>
    <w:rsid w:val="003136C5"/>
    <w:rsid w:val="00313B87"/>
    <w:rsid w:val="00313DF0"/>
    <w:rsid w:val="00313F43"/>
    <w:rsid w:val="003141E4"/>
    <w:rsid w:val="0031676C"/>
    <w:rsid w:val="00317711"/>
    <w:rsid w:val="00317B1E"/>
    <w:rsid w:val="00317E28"/>
    <w:rsid w:val="00317E38"/>
    <w:rsid w:val="00321A5C"/>
    <w:rsid w:val="00321A6A"/>
    <w:rsid w:val="00326A5A"/>
    <w:rsid w:val="00326B2A"/>
    <w:rsid w:val="00326D6E"/>
    <w:rsid w:val="00326E65"/>
    <w:rsid w:val="00327999"/>
    <w:rsid w:val="00331D16"/>
    <w:rsid w:val="003336ED"/>
    <w:rsid w:val="003337AC"/>
    <w:rsid w:val="00334B06"/>
    <w:rsid w:val="00334F7E"/>
    <w:rsid w:val="003353A7"/>
    <w:rsid w:val="00336B04"/>
    <w:rsid w:val="00337135"/>
    <w:rsid w:val="003372A4"/>
    <w:rsid w:val="00337D65"/>
    <w:rsid w:val="00340409"/>
    <w:rsid w:val="003425D0"/>
    <w:rsid w:val="0034313F"/>
    <w:rsid w:val="00343D44"/>
    <w:rsid w:val="0034423D"/>
    <w:rsid w:val="0034545D"/>
    <w:rsid w:val="00345CBC"/>
    <w:rsid w:val="003462B5"/>
    <w:rsid w:val="00346314"/>
    <w:rsid w:val="00346787"/>
    <w:rsid w:val="00346BB9"/>
    <w:rsid w:val="003517AF"/>
    <w:rsid w:val="00351862"/>
    <w:rsid w:val="003525F6"/>
    <w:rsid w:val="003529BF"/>
    <w:rsid w:val="003540F7"/>
    <w:rsid w:val="00354523"/>
    <w:rsid w:val="0035472B"/>
    <w:rsid w:val="00354DA9"/>
    <w:rsid w:val="003551E7"/>
    <w:rsid w:val="00357A08"/>
    <w:rsid w:val="00361359"/>
    <w:rsid w:val="003640F5"/>
    <w:rsid w:val="003646C2"/>
    <w:rsid w:val="003674C3"/>
    <w:rsid w:val="00367C84"/>
    <w:rsid w:val="003708B3"/>
    <w:rsid w:val="003708DF"/>
    <w:rsid w:val="00370AF0"/>
    <w:rsid w:val="00371253"/>
    <w:rsid w:val="00371D70"/>
    <w:rsid w:val="003729B6"/>
    <w:rsid w:val="00372BE8"/>
    <w:rsid w:val="00373A70"/>
    <w:rsid w:val="00374A65"/>
    <w:rsid w:val="00374E60"/>
    <w:rsid w:val="003750E7"/>
    <w:rsid w:val="0037594F"/>
    <w:rsid w:val="003760CA"/>
    <w:rsid w:val="00380245"/>
    <w:rsid w:val="0038049D"/>
    <w:rsid w:val="003805FF"/>
    <w:rsid w:val="00380DF2"/>
    <w:rsid w:val="00383F5B"/>
    <w:rsid w:val="003842ED"/>
    <w:rsid w:val="00384A40"/>
    <w:rsid w:val="003875EB"/>
    <w:rsid w:val="00391457"/>
    <w:rsid w:val="003920C7"/>
    <w:rsid w:val="00393E15"/>
    <w:rsid w:val="0039468C"/>
    <w:rsid w:val="00395DED"/>
    <w:rsid w:val="003A02F2"/>
    <w:rsid w:val="003A03D5"/>
    <w:rsid w:val="003A1DBA"/>
    <w:rsid w:val="003A3755"/>
    <w:rsid w:val="003A3866"/>
    <w:rsid w:val="003A386E"/>
    <w:rsid w:val="003A38FC"/>
    <w:rsid w:val="003A41BA"/>
    <w:rsid w:val="003A5ACB"/>
    <w:rsid w:val="003A60AF"/>
    <w:rsid w:val="003A6196"/>
    <w:rsid w:val="003A619C"/>
    <w:rsid w:val="003A6D44"/>
    <w:rsid w:val="003A7EA4"/>
    <w:rsid w:val="003B0C3A"/>
    <w:rsid w:val="003B12A6"/>
    <w:rsid w:val="003B14C4"/>
    <w:rsid w:val="003B23A7"/>
    <w:rsid w:val="003B2619"/>
    <w:rsid w:val="003B3447"/>
    <w:rsid w:val="003B4D4D"/>
    <w:rsid w:val="003B5A26"/>
    <w:rsid w:val="003B6E75"/>
    <w:rsid w:val="003B726C"/>
    <w:rsid w:val="003C0F1C"/>
    <w:rsid w:val="003C116F"/>
    <w:rsid w:val="003C12E7"/>
    <w:rsid w:val="003C3D32"/>
    <w:rsid w:val="003C5116"/>
    <w:rsid w:val="003C5861"/>
    <w:rsid w:val="003C5A27"/>
    <w:rsid w:val="003C5F10"/>
    <w:rsid w:val="003C6F9E"/>
    <w:rsid w:val="003C7262"/>
    <w:rsid w:val="003D006F"/>
    <w:rsid w:val="003D014E"/>
    <w:rsid w:val="003D02B7"/>
    <w:rsid w:val="003D0444"/>
    <w:rsid w:val="003D052F"/>
    <w:rsid w:val="003D0682"/>
    <w:rsid w:val="003D101F"/>
    <w:rsid w:val="003D1BE9"/>
    <w:rsid w:val="003D1F62"/>
    <w:rsid w:val="003D3C5C"/>
    <w:rsid w:val="003D3E81"/>
    <w:rsid w:val="003D3E8E"/>
    <w:rsid w:val="003D4DBB"/>
    <w:rsid w:val="003D601E"/>
    <w:rsid w:val="003D67EF"/>
    <w:rsid w:val="003D7318"/>
    <w:rsid w:val="003D7744"/>
    <w:rsid w:val="003D7A1C"/>
    <w:rsid w:val="003E07C9"/>
    <w:rsid w:val="003E0FF9"/>
    <w:rsid w:val="003E1C5D"/>
    <w:rsid w:val="003E32D6"/>
    <w:rsid w:val="003E3ECF"/>
    <w:rsid w:val="003E55B4"/>
    <w:rsid w:val="003E607A"/>
    <w:rsid w:val="003E6465"/>
    <w:rsid w:val="003E7C12"/>
    <w:rsid w:val="003F0CF4"/>
    <w:rsid w:val="003F1CE8"/>
    <w:rsid w:val="003F1DFA"/>
    <w:rsid w:val="003F2B87"/>
    <w:rsid w:val="003F7526"/>
    <w:rsid w:val="003F7736"/>
    <w:rsid w:val="00400E87"/>
    <w:rsid w:val="00401E8F"/>
    <w:rsid w:val="0040294D"/>
    <w:rsid w:val="00402E3F"/>
    <w:rsid w:val="00404225"/>
    <w:rsid w:val="004051AD"/>
    <w:rsid w:val="00406421"/>
    <w:rsid w:val="00406B7C"/>
    <w:rsid w:val="0040799C"/>
    <w:rsid w:val="00407BD1"/>
    <w:rsid w:val="00407BE2"/>
    <w:rsid w:val="004101FA"/>
    <w:rsid w:val="004102A4"/>
    <w:rsid w:val="00410497"/>
    <w:rsid w:val="00410A57"/>
    <w:rsid w:val="004110E3"/>
    <w:rsid w:val="00412A06"/>
    <w:rsid w:val="00412DD3"/>
    <w:rsid w:val="00413ACF"/>
    <w:rsid w:val="00413DAC"/>
    <w:rsid w:val="00413EE4"/>
    <w:rsid w:val="0041607B"/>
    <w:rsid w:val="004162D7"/>
    <w:rsid w:val="004170A7"/>
    <w:rsid w:val="00420952"/>
    <w:rsid w:val="00421885"/>
    <w:rsid w:val="00423014"/>
    <w:rsid w:val="004236B3"/>
    <w:rsid w:val="004242B2"/>
    <w:rsid w:val="00424BAE"/>
    <w:rsid w:val="00425AD6"/>
    <w:rsid w:val="00427946"/>
    <w:rsid w:val="0043031E"/>
    <w:rsid w:val="00430D43"/>
    <w:rsid w:val="00430E51"/>
    <w:rsid w:val="00431C90"/>
    <w:rsid w:val="004334A1"/>
    <w:rsid w:val="004341DD"/>
    <w:rsid w:val="004356FB"/>
    <w:rsid w:val="00436AF0"/>
    <w:rsid w:val="0043776A"/>
    <w:rsid w:val="00437E4F"/>
    <w:rsid w:val="00440325"/>
    <w:rsid w:val="00441283"/>
    <w:rsid w:val="00441BD3"/>
    <w:rsid w:val="004432E8"/>
    <w:rsid w:val="004438C8"/>
    <w:rsid w:val="0044398D"/>
    <w:rsid w:val="00443F65"/>
    <w:rsid w:val="004443F2"/>
    <w:rsid w:val="0044452B"/>
    <w:rsid w:val="00445110"/>
    <w:rsid w:val="0044543C"/>
    <w:rsid w:val="00445F6D"/>
    <w:rsid w:val="004460B9"/>
    <w:rsid w:val="00446748"/>
    <w:rsid w:val="00446BDC"/>
    <w:rsid w:val="00446C8B"/>
    <w:rsid w:val="00451D49"/>
    <w:rsid w:val="00452532"/>
    <w:rsid w:val="00452E73"/>
    <w:rsid w:val="004531BB"/>
    <w:rsid w:val="00453ECA"/>
    <w:rsid w:val="004540F9"/>
    <w:rsid w:val="0045439C"/>
    <w:rsid w:val="00454704"/>
    <w:rsid w:val="00454FB5"/>
    <w:rsid w:val="00455BB8"/>
    <w:rsid w:val="00456016"/>
    <w:rsid w:val="0045687A"/>
    <w:rsid w:val="004579D7"/>
    <w:rsid w:val="00460674"/>
    <w:rsid w:val="00460752"/>
    <w:rsid w:val="004611CB"/>
    <w:rsid w:val="00461542"/>
    <w:rsid w:val="00462101"/>
    <w:rsid w:val="00462B93"/>
    <w:rsid w:val="00463082"/>
    <w:rsid w:val="004632E1"/>
    <w:rsid w:val="0046344C"/>
    <w:rsid w:val="00464750"/>
    <w:rsid w:val="00464B3A"/>
    <w:rsid w:val="00465DB3"/>
    <w:rsid w:val="00466929"/>
    <w:rsid w:val="004677B7"/>
    <w:rsid w:val="00467CDA"/>
    <w:rsid w:val="0047032B"/>
    <w:rsid w:val="0047116E"/>
    <w:rsid w:val="004712FF"/>
    <w:rsid w:val="004730B2"/>
    <w:rsid w:val="00473396"/>
    <w:rsid w:val="004734B3"/>
    <w:rsid w:val="004755A9"/>
    <w:rsid w:val="00475805"/>
    <w:rsid w:val="00476398"/>
    <w:rsid w:val="004766D8"/>
    <w:rsid w:val="004769F6"/>
    <w:rsid w:val="00477E6A"/>
    <w:rsid w:val="004808F5"/>
    <w:rsid w:val="00481E43"/>
    <w:rsid w:val="0048285C"/>
    <w:rsid w:val="00482AA5"/>
    <w:rsid w:val="004830FA"/>
    <w:rsid w:val="004835D3"/>
    <w:rsid w:val="00485527"/>
    <w:rsid w:val="00485904"/>
    <w:rsid w:val="004867B8"/>
    <w:rsid w:val="00486AA8"/>
    <w:rsid w:val="00486B9F"/>
    <w:rsid w:val="00487DE0"/>
    <w:rsid w:val="00490FA0"/>
    <w:rsid w:val="004919B2"/>
    <w:rsid w:val="004919CD"/>
    <w:rsid w:val="004932E9"/>
    <w:rsid w:val="0049373E"/>
    <w:rsid w:val="0049419D"/>
    <w:rsid w:val="00494786"/>
    <w:rsid w:val="00494795"/>
    <w:rsid w:val="00495954"/>
    <w:rsid w:val="00495D29"/>
    <w:rsid w:val="004964FD"/>
    <w:rsid w:val="004A13D8"/>
    <w:rsid w:val="004A1B66"/>
    <w:rsid w:val="004A1D87"/>
    <w:rsid w:val="004A2870"/>
    <w:rsid w:val="004A2B7B"/>
    <w:rsid w:val="004A2BE1"/>
    <w:rsid w:val="004A338C"/>
    <w:rsid w:val="004A3C62"/>
    <w:rsid w:val="004A43A5"/>
    <w:rsid w:val="004A447F"/>
    <w:rsid w:val="004A62B9"/>
    <w:rsid w:val="004A73EC"/>
    <w:rsid w:val="004A7850"/>
    <w:rsid w:val="004B0509"/>
    <w:rsid w:val="004B10C1"/>
    <w:rsid w:val="004B2036"/>
    <w:rsid w:val="004B3D49"/>
    <w:rsid w:val="004B3D99"/>
    <w:rsid w:val="004B3EC8"/>
    <w:rsid w:val="004B5278"/>
    <w:rsid w:val="004B567A"/>
    <w:rsid w:val="004B5BE2"/>
    <w:rsid w:val="004B5FA2"/>
    <w:rsid w:val="004B6777"/>
    <w:rsid w:val="004B780A"/>
    <w:rsid w:val="004B7DE0"/>
    <w:rsid w:val="004C1F29"/>
    <w:rsid w:val="004C2110"/>
    <w:rsid w:val="004C2C31"/>
    <w:rsid w:val="004C2C36"/>
    <w:rsid w:val="004C3195"/>
    <w:rsid w:val="004C3A34"/>
    <w:rsid w:val="004C41B7"/>
    <w:rsid w:val="004C4585"/>
    <w:rsid w:val="004C48A1"/>
    <w:rsid w:val="004C4D90"/>
    <w:rsid w:val="004C4E4B"/>
    <w:rsid w:val="004C5952"/>
    <w:rsid w:val="004C7428"/>
    <w:rsid w:val="004C7534"/>
    <w:rsid w:val="004D0C1E"/>
    <w:rsid w:val="004D1140"/>
    <w:rsid w:val="004D3036"/>
    <w:rsid w:val="004D3262"/>
    <w:rsid w:val="004D34C1"/>
    <w:rsid w:val="004D3A60"/>
    <w:rsid w:val="004D3FD2"/>
    <w:rsid w:val="004D48E7"/>
    <w:rsid w:val="004D5468"/>
    <w:rsid w:val="004D60BC"/>
    <w:rsid w:val="004D6B71"/>
    <w:rsid w:val="004D7DD4"/>
    <w:rsid w:val="004D7F0E"/>
    <w:rsid w:val="004E02C7"/>
    <w:rsid w:val="004E0BA9"/>
    <w:rsid w:val="004E2715"/>
    <w:rsid w:val="004E274C"/>
    <w:rsid w:val="004E2BE5"/>
    <w:rsid w:val="004E37CF"/>
    <w:rsid w:val="004E3CE9"/>
    <w:rsid w:val="004E44CD"/>
    <w:rsid w:val="004E4F0E"/>
    <w:rsid w:val="004E5FF3"/>
    <w:rsid w:val="004E6254"/>
    <w:rsid w:val="004E6A0C"/>
    <w:rsid w:val="004E6AA0"/>
    <w:rsid w:val="004E6DB8"/>
    <w:rsid w:val="004E6FEB"/>
    <w:rsid w:val="004E7687"/>
    <w:rsid w:val="004E7A52"/>
    <w:rsid w:val="004F195F"/>
    <w:rsid w:val="004F396E"/>
    <w:rsid w:val="004F4D01"/>
    <w:rsid w:val="004F55BA"/>
    <w:rsid w:val="004F55E6"/>
    <w:rsid w:val="004F6051"/>
    <w:rsid w:val="004F6779"/>
    <w:rsid w:val="004F7F57"/>
    <w:rsid w:val="004F7F5C"/>
    <w:rsid w:val="0050012E"/>
    <w:rsid w:val="005001D7"/>
    <w:rsid w:val="00500C99"/>
    <w:rsid w:val="0050240B"/>
    <w:rsid w:val="00502410"/>
    <w:rsid w:val="0050380B"/>
    <w:rsid w:val="00503B10"/>
    <w:rsid w:val="0050496A"/>
    <w:rsid w:val="0050554D"/>
    <w:rsid w:val="0050659F"/>
    <w:rsid w:val="00506AA1"/>
    <w:rsid w:val="00510A59"/>
    <w:rsid w:val="00510BC2"/>
    <w:rsid w:val="00510BE5"/>
    <w:rsid w:val="00511400"/>
    <w:rsid w:val="00511AFF"/>
    <w:rsid w:val="00511F20"/>
    <w:rsid w:val="00511FB3"/>
    <w:rsid w:val="00512985"/>
    <w:rsid w:val="0051330C"/>
    <w:rsid w:val="00514308"/>
    <w:rsid w:val="00514A7E"/>
    <w:rsid w:val="00514F6E"/>
    <w:rsid w:val="00515C79"/>
    <w:rsid w:val="0051602C"/>
    <w:rsid w:val="005200E4"/>
    <w:rsid w:val="005214FD"/>
    <w:rsid w:val="005221CF"/>
    <w:rsid w:val="0052256A"/>
    <w:rsid w:val="0052427A"/>
    <w:rsid w:val="00524468"/>
    <w:rsid w:val="0052508D"/>
    <w:rsid w:val="005252FC"/>
    <w:rsid w:val="00525717"/>
    <w:rsid w:val="00525C4A"/>
    <w:rsid w:val="005274C5"/>
    <w:rsid w:val="00531DE4"/>
    <w:rsid w:val="00531F3B"/>
    <w:rsid w:val="00533382"/>
    <w:rsid w:val="005340C4"/>
    <w:rsid w:val="005343D9"/>
    <w:rsid w:val="00537E22"/>
    <w:rsid w:val="00540A50"/>
    <w:rsid w:val="00540F63"/>
    <w:rsid w:val="00541643"/>
    <w:rsid w:val="00542523"/>
    <w:rsid w:val="005428E0"/>
    <w:rsid w:val="00543B93"/>
    <w:rsid w:val="005440CB"/>
    <w:rsid w:val="005446D5"/>
    <w:rsid w:val="0054520C"/>
    <w:rsid w:val="00545D7C"/>
    <w:rsid w:val="00546718"/>
    <w:rsid w:val="00547C34"/>
    <w:rsid w:val="00547D09"/>
    <w:rsid w:val="0055013E"/>
    <w:rsid w:val="0055045D"/>
    <w:rsid w:val="00551784"/>
    <w:rsid w:val="00555DE5"/>
    <w:rsid w:val="00556215"/>
    <w:rsid w:val="00556701"/>
    <w:rsid w:val="00557106"/>
    <w:rsid w:val="005573B0"/>
    <w:rsid w:val="00557C0A"/>
    <w:rsid w:val="005613D8"/>
    <w:rsid w:val="005618D4"/>
    <w:rsid w:val="00561FCA"/>
    <w:rsid w:val="00562167"/>
    <w:rsid w:val="0056249A"/>
    <w:rsid w:val="00564AE2"/>
    <w:rsid w:val="00564B9D"/>
    <w:rsid w:val="00564C5E"/>
    <w:rsid w:val="005666A1"/>
    <w:rsid w:val="00567560"/>
    <w:rsid w:val="00571CDE"/>
    <w:rsid w:val="00573752"/>
    <w:rsid w:val="00573EB5"/>
    <w:rsid w:val="00575071"/>
    <w:rsid w:val="00575325"/>
    <w:rsid w:val="005768E8"/>
    <w:rsid w:val="005777B5"/>
    <w:rsid w:val="00577E82"/>
    <w:rsid w:val="005801AF"/>
    <w:rsid w:val="00580B8C"/>
    <w:rsid w:val="00580F56"/>
    <w:rsid w:val="00582EEA"/>
    <w:rsid w:val="005839F9"/>
    <w:rsid w:val="0058468F"/>
    <w:rsid w:val="005849E6"/>
    <w:rsid w:val="005866DB"/>
    <w:rsid w:val="0059073A"/>
    <w:rsid w:val="005914E7"/>
    <w:rsid w:val="005932BA"/>
    <w:rsid w:val="0059402B"/>
    <w:rsid w:val="005943D7"/>
    <w:rsid w:val="005971FD"/>
    <w:rsid w:val="005975BC"/>
    <w:rsid w:val="00597C21"/>
    <w:rsid w:val="005A012B"/>
    <w:rsid w:val="005A0B08"/>
    <w:rsid w:val="005A1362"/>
    <w:rsid w:val="005A148F"/>
    <w:rsid w:val="005A26AC"/>
    <w:rsid w:val="005A27CD"/>
    <w:rsid w:val="005A28BD"/>
    <w:rsid w:val="005A6188"/>
    <w:rsid w:val="005A7427"/>
    <w:rsid w:val="005B10F3"/>
    <w:rsid w:val="005B1CAE"/>
    <w:rsid w:val="005B223C"/>
    <w:rsid w:val="005B3630"/>
    <w:rsid w:val="005B3BD2"/>
    <w:rsid w:val="005B6649"/>
    <w:rsid w:val="005C13FF"/>
    <w:rsid w:val="005C1D29"/>
    <w:rsid w:val="005C4635"/>
    <w:rsid w:val="005C4917"/>
    <w:rsid w:val="005C535E"/>
    <w:rsid w:val="005C62E3"/>
    <w:rsid w:val="005C6E8D"/>
    <w:rsid w:val="005D2619"/>
    <w:rsid w:val="005D3AB3"/>
    <w:rsid w:val="005D46F0"/>
    <w:rsid w:val="005D47B7"/>
    <w:rsid w:val="005D573F"/>
    <w:rsid w:val="005D5957"/>
    <w:rsid w:val="005D5A24"/>
    <w:rsid w:val="005D610D"/>
    <w:rsid w:val="005D6A19"/>
    <w:rsid w:val="005D7B2D"/>
    <w:rsid w:val="005E0131"/>
    <w:rsid w:val="005E0546"/>
    <w:rsid w:val="005E0ED4"/>
    <w:rsid w:val="005E0FC2"/>
    <w:rsid w:val="005E10E7"/>
    <w:rsid w:val="005E136F"/>
    <w:rsid w:val="005E20BB"/>
    <w:rsid w:val="005E2D56"/>
    <w:rsid w:val="005E3192"/>
    <w:rsid w:val="005E34B6"/>
    <w:rsid w:val="005E3D9E"/>
    <w:rsid w:val="005E46D4"/>
    <w:rsid w:val="005E4C0F"/>
    <w:rsid w:val="005E5151"/>
    <w:rsid w:val="005E540B"/>
    <w:rsid w:val="005E5CDE"/>
    <w:rsid w:val="005E66CE"/>
    <w:rsid w:val="005E674E"/>
    <w:rsid w:val="005E6901"/>
    <w:rsid w:val="005E7129"/>
    <w:rsid w:val="005E76C6"/>
    <w:rsid w:val="005F0EFA"/>
    <w:rsid w:val="005F34A5"/>
    <w:rsid w:val="005F3AC6"/>
    <w:rsid w:val="005F7096"/>
    <w:rsid w:val="005F7188"/>
    <w:rsid w:val="005F7CCC"/>
    <w:rsid w:val="00600F00"/>
    <w:rsid w:val="00601328"/>
    <w:rsid w:val="00601C07"/>
    <w:rsid w:val="00601E1D"/>
    <w:rsid w:val="006026A5"/>
    <w:rsid w:val="00603261"/>
    <w:rsid w:val="0060384D"/>
    <w:rsid w:val="00603D1A"/>
    <w:rsid w:val="006044F4"/>
    <w:rsid w:val="00604AA8"/>
    <w:rsid w:val="006057F8"/>
    <w:rsid w:val="00605EDD"/>
    <w:rsid w:val="00606D79"/>
    <w:rsid w:val="0061043E"/>
    <w:rsid w:val="00610BA4"/>
    <w:rsid w:val="006112E4"/>
    <w:rsid w:val="00612C09"/>
    <w:rsid w:val="00612D39"/>
    <w:rsid w:val="006134D6"/>
    <w:rsid w:val="00613629"/>
    <w:rsid w:val="0061414A"/>
    <w:rsid w:val="0061450E"/>
    <w:rsid w:val="0061472F"/>
    <w:rsid w:val="00614B56"/>
    <w:rsid w:val="00614F88"/>
    <w:rsid w:val="00615394"/>
    <w:rsid w:val="00616209"/>
    <w:rsid w:val="0061718F"/>
    <w:rsid w:val="006212BC"/>
    <w:rsid w:val="006213B3"/>
    <w:rsid w:val="00623056"/>
    <w:rsid w:val="00623534"/>
    <w:rsid w:val="006235F6"/>
    <w:rsid w:val="00623B2A"/>
    <w:rsid w:val="00626026"/>
    <w:rsid w:val="0062638A"/>
    <w:rsid w:val="0062698E"/>
    <w:rsid w:val="00626E0A"/>
    <w:rsid w:val="00627E49"/>
    <w:rsid w:val="0063038D"/>
    <w:rsid w:val="00630A6A"/>
    <w:rsid w:val="006326D1"/>
    <w:rsid w:val="00632B64"/>
    <w:rsid w:val="00633348"/>
    <w:rsid w:val="00634241"/>
    <w:rsid w:val="00636FAE"/>
    <w:rsid w:val="006374A5"/>
    <w:rsid w:val="006407DD"/>
    <w:rsid w:val="0064081F"/>
    <w:rsid w:val="00640A06"/>
    <w:rsid w:val="00640CFC"/>
    <w:rsid w:val="0064169A"/>
    <w:rsid w:val="00641F2C"/>
    <w:rsid w:val="006422C5"/>
    <w:rsid w:val="00645E00"/>
    <w:rsid w:val="00646EC5"/>
    <w:rsid w:val="00647FD9"/>
    <w:rsid w:val="00650527"/>
    <w:rsid w:val="00650C69"/>
    <w:rsid w:val="00650EAC"/>
    <w:rsid w:val="00651137"/>
    <w:rsid w:val="00651E10"/>
    <w:rsid w:val="006526EA"/>
    <w:rsid w:val="006543CD"/>
    <w:rsid w:val="00661098"/>
    <w:rsid w:val="0066131D"/>
    <w:rsid w:val="006613B0"/>
    <w:rsid w:val="006618B1"/>
    <w:rsid w:val="00663324"/>
    <w:rsid w:val="00663458"/>
    <w:rsid w:val="00663DCF"/>
    <w:rsid w:val="00664BA7"/>
    <w:rsid w:val="00666F25"/>
    <w:rsid w:val="00667611"/>
    <w:rsid w:val="006676C3"/>
    <w:rsid w:val="00667C3B"/>
    <w:rsid w:val="00670182"/>
    <w:rsid w:val="0067098B"/>
    <w:rsid w:val="006714AA"/>
    <w:rsid w:val="0067184E"/>
    <w:rsid w:val="00672D61"/>
    <w:rsid w:val="00672E58"/>
    <w:rsid w:val="00673B74"/>
    <w:rsid w:val="00673D26"/>
    <w:rsid w:val="00674436"/>
    <w:rsid w:val="00674AC6"/>
    <w:rsid w:val="006750FC"/>
    <w:rsid w:val="006756A2"/>
    <w:rsid w:val="00676BBE"/>
    <w:rsid w:val="0068002F"/>
    <w:rsid w:val="006801E9"/>
    <w:rsid w:val="006813BA"/>
    <w:rsid w:val="00683012"/>
    <w:rsid w:val="0068339A"/>
    <w:rsid w:val="00684B45"/>
    <w:rsid w:val="00685253"/>
    <w:rsid w:val="00686707"/>
    <w:rsid w:val="00686782"/>
    <w:rsid w:val="006871F6"/>
    <w:rsid w:val="00687B84"/>
    <w:rsid w:val="00687C53"/>
    <w:rsid w:val="00690481"/>
    <w:rsid w:val="00690869"/>
    <w:rsid w:val="006908FA"/>
    <w:rsid w:val="00691438"/>
    <w:rsid w:val="0069308D"/>
    <w:rsid w:val="00693349"/>
    <w:rsid w:val="006946B7"/>
    <w:rsid w:val="00694BC3"/>
    <w:rsid w:val="0069732C"/>
    <w:rsid w:val="0069759C"/>
    <w:rsid w:val="006A00C4"/>
    <w:rsid w:val="006A05EC"/>
    <w:rsid w:val="006A13B3"/>
    <w:rsid w:val="006A1D86"/>
    <w:rsid w:val="006A29C2"/>
    <w:rsid w:val="006A2FFF"/>
    <w:rsid w:val="006A3981"/>
    <w:rsid w:val="006A4922"/>
    <w:rsid w:val="006A4E42"/>
    <w:rsid w:val="006A5C15"/>
    <w:rsid w:val="006A6315"/>
    <w:rsid w:val="006A7481"/>
    <w:rsid w:val="006A7616"/>
    <w:rsid w:val="006A7ECC"/>
    <w:rsid w:val="006B120A"/>
    <w:rsid w:val="006B1B15"/>
    <w:rsid w:val="006B26C1"/>
    <w:rsid w:val="006B4086"/>
    <w:rsid w:val="006B5754"/>
    <w:rsid w:val="006B61AA"/>
    <w:rsid w:val="006B6D6F"/>
    <w:rsid w:val="006C09FE"/>
    <w:rsid w:val="006C0A4B"/>
    <w:rsid w:val="006C0E23"/>
    <w:rsid w:val="006C153F"/>
    <w:rsid w:val="006C1E0B"/>
    <w:rsid w:val="006C57BD"/>
    <w:rsid w:val="006C593C"/>
    <w:rsid w:val="006C62E9"/>
    <w:rsid w:val="006C79DB"/>
    <w:rsid w:val="006D1196"/>
    <w:rsid w:val="006D15B9"/>
    <w:rsid w:val="006D345C"/>
    <w:rsid w:val="006D3A59"/>
    <w:rsid w:val="006D3B30"/>
    <w:rsid w:val="006D3D53"/>
    <w:rsid w:val="006D562D"/>
    <w:rsid w:val="006D5C73"/>
    <w:rsid w:val="006D6894"/>
    <w:rsid w:val="006D6B69"/>
    <w:rsid w:val="006D6F3A"/>
    <w:rsid w:val="006D7EA1"/>
    <w:rsid w:val="006D7F51"/>
    <w:rsid w:val="006E0645"/>
    <w:rsid w:val="006E2952"/>
    <w:rsid w:val="006E2D3D"/>
    <w:rsid w:val="006E4200"/>
    <w:rsid w:val="006E43FE"/>
    <w:rsid w:val="006E4669"/>
    <w:rsid w:val="006E4698"/>
    <w:rsid w:val="006E651D"/>
    <w:rsid w:val="006E699D"/>
    <w:rsid w:val="006E70F7"/>
    <w:rsid w:val="006F0D92"/>
    <w:rsid w:val="006F10AE"/>
    <w:rsid w:val="006F1B58"/>
    <w:rsid w:val="006F1FAA"/>
    <w:rsid w:val="006F213D"/>
    <w:rsid w:val="006F2406"/>
    <w:rsid w:val="006F24FF"/>
    <w:rsid w:val="006F33E4"/>
    <w:rsid w:val="006F38FA"/>
    <w:rsid w:val="006F5066"/>
    <w:rsid w:val="006F54DB"/>
    <w:rsid w:val="006F57A1"/>
    <w:rsid w:val="006F668E"/>
    <w:rsid w:val="006F6A59"/>
    <w:rsid w:val="006F7036"/>
    <w:rsid w:val="00701EF8"/>
    <w:rsid w:val="007021A8"/>
    <w:rsid w:val="00702237"/>
    <w:rsid w:val="00702A12"/>
    <w:rsid w:val="00704608"/>
    <w:rsid w:val="007048B7"/>
    <w:rsid w:val="00706D57"/>
    <w:rsid w:val="0070747B"/>
    <w:rsid w:val="0071136B"/>
    <w:rsid w:val="00711893"/>
    <w:rsid w:val="00711DCB"/>
    <w:rsid w:val="00712988"/>
    <w:rsid w:val="0071372C"/>
    <w:rsid w:val="00715FAB"/>
    <w:rsid w:val="00716C8B"/>
    <w:rsid w:val="007174C9"/>
    <w:rsid w:val="007208A3"/>
    <w:rsid w:val="00720CE8"/>
    <w:rsid w:val="00721F51"/>
    <w:rsid w:val="00721F8C"/>
    <w:rsid w:val="00723A15"/>
    <w:rsid w:val="00724683"/>
    <w:rsid w:val="00725799"/>
    <w:rsid w:val="00730655"/>
    <w:rsid w:val="007312CF"/>
    <w:rsid w:val="0073182B"/>
    <w:rsid w:val="00732471"/>
    <w:rsid w:val="0073318F"/>
    <w:rsid w:val="00734FBF"/>
    <w:rsid w:val="007355FE"/>
    <w:rsid w:val="007374F3"/>
    <w:rsid w:val="00737EAD"/>
    <w:rsid w:val="00740032"/>
    <w:rsid w:val="00740542"/>
    <w:rsid w:val="00745176"/>
    <w:rsid w:val="00745B8D"/>
    <w:rsid w:val="0074615F"/>
    <w:rsid w:val="007463E9"/>
    <w:rsid w:val="0074772B"/>
    <w:rsid w:val="00747A98"/>
    <w:rsid w:val="00750B27"/>
    <w:rsid w:val="007511B0"/>
    <w:rsid w:val="00751AB6"/>
    <w:rsid w:val="00752606"/>
    <w:rsid w:val="00752FCC"/>
    <w:rsid w:val="00753B70"/>
    <w:rsid w:val="00754BF1"/>
    <w:rsid w:val="00755488"/>
    <w:rsid w:val="00755B8F"/>
    <w:rsid w:val="00756D1C"/>
    <w:rsid w:val="00757A21"/>
    <w:rsid w:val="00757AA2"/>
    <w:rsid w:val="007617F2"/>
    <w:rsid w:val="00762449"/>
    <w:rsid w:val="00763C79"/>
    <w:rsid w:val="007671E4"/>
    <w:rsid w:val="007676F7"/>
    <w:rsid w:val="00771D53"/>
    <w:rsid w:val="0077240E"/>
    <w:rsid w:val="0077277F"/>
    <w:rsid w:val="00772FCD"/>
    <w:rsid w:val="00774406"/>
    <w:rsid w:val="0077510E"/>
    <w:rsid w:val="0077597B"/>
    <w:rsid w:val="00776FAD"/>
    <w:rsid w:val="00780187"/>
    <w:rsid w:val="00780B7A"/>
    <w:rsid w:val="007815A7"/>
    <w:rsid w:val="007817A2"/>
    <w:rsid w:val="00782429"/>
    <w:rsid w:val="00782872"/>
    <w:rsid w:val="00784511"/>
    <w:rsid w:val="007848FC"/>
    <w:rsid w:val="00786290"/>
    <w:rsid w:val="0078696C"/>
    <w:rsid w:val="00786F9E"/>
    <w:rsid w:val="00787729"/>
    <w:rsid w:val="007879B0"/>
    <w:rsid w:val="00787BAD"/>
    <w:rsid w:val="00790856"/>
    <w:rsid w:val="00790C38"/>
    <w:rsid w:val="0079247B"/>
    <w:rsid w:val="00792537"/>
    <w:rsid w:val="00794633"/>
    <w:rsid w:val="00796446"/>
    <w:rsid w:val="007965DB"/>
    <w:rsid w:val="007A08DB"/>
    <w:rsid w:val="007A0B00"/>
    <w:rsid w:val="007A0CD2"/>
    <w:rsid w:val="007A20BB"/>
    <w:rsid w:val="007A2107"/>
    <w:rsid w:val="007A3981"/>
    <w:rsid w:val="007A3AE5"/>
    <w:rsid w:val="007A3F1C"/>
    <w:rsid w:val="007A4032"/>
    <w:rsid w:val="007A4A3E"/>
    <w:rsid w:val="007A59CB"/>
    <w:rsid w:val="007A6656"/>
    <w:rsid w:val="007A6910"/>
    <w:rsid w:val="007A7D1D"/>
    <w:rsid w:val="007A7D6E"/>
    <w:rsid w:val="007B0D10"/>
    <w:rsid w:val="007B0EAE"/>
    <w:rsid w:val="007B0FC1"/>
    <w:rsid w:val="007B109D"/>
    <w:rsid w:val="007B1ECD"/>
    <w:rsid w:val="007B367B"/>
    <w:rsid w:val="007B43A3"/>
    <w:rsid w:val="007B4631"/>
    <w:rsid w:val="007B4A7E"/>
    <w:rsid w:val="007B5973"/>
    <w:rsid w:val="007B60B0"/>
    <w:rsid w:val="007B6580"/>
    <w:rsid w:val="007B6ACA"/>
    <w:rsid w:val="007B77CA"/>
    <w:rsid w:val="007C0251"/>
    <w:rsid w:val="007C0DBB"/>
    <w:rsid w:val="007C1B47"/>
    <w:rsid w:val="007C39FB"/>
    <w:rsid w:val="007C4700"/>
    <w:rsid w:val="007C4D74"/>
    <w:rsid w:val="007C6206"/>
    <w:rsid w:val="007C6373"/>
    <w:rsid w:val="007C7A03"/>
    <w:rsid w:val="007D063E"/>
    <w:rsid w:val="007D143D"/>
    <w:rsid w:val="007D23C0"/>
    <w:rsid w:val="007D3979"/>
    <w:rsid w:val="007D4556"/>
    <w:rsid w:val="007D4ED4"/>
    <w:rsid w:val="007D552B"/>
    <w:rsid w:val="007D58AC"/>
    <w:rsid w:val="007D6E4C"/>
    <w:rsid w:val="007E1A7D"/>
    <w:rsid w:val="007E1DB1"/>
    <w:rsid w:val="007E21CB"/>
    <w:rsid w:val="007E3B70"/>
    <w:rsid w:val="007E58B7"/>
    <w:rsid w:val="007E663B"/>
    <w:rsid w:val="007E76A5"/>
    <w:rsid w:val="007E7E13"/>
    <w:rsid w:val="007F07A7"/>
    <w:rsid w:val="007F117C"/>
    <w:rsid w:val="007F1D10"/>
    <w:rsid w:val="007F2C80"/>
    <w:rsid w:val="007F3452"/>
    <w:rsid w:val="007F4076"/>
    <w:rsid w:val="007F40BE"/>
    <w:rsid w:val="007F49A9"/>
    <w:rsid w:val="007F589A"/>
    <w:rsid w:val="007F6A13"/>
    <w:rsid w:val="00800118"/>
    <w:rsid w:val="008005AF"/>
    <w:rsid w:val="00800FDF"/>
    <w:rsid w:val="00801058"/>
    <w:rsid w:val="00802718"/>
    <w:rsid w:val="0080325A"/>
    <w:rsid w:val="00803629"/>
    <w:rsid w:val="0080397B"/>
    <w:rsid w:val="00803ADB"/>
    <w:rsid w:val="00803B09"/>
    <w:rsid w:val="008056AA"/>
    <w:rsid w:val="00806CDF"/>
    <w:rsid w:val="0081156F"/>
    <w:rsid w:val="008118F2"/>
    <w:rsid w:val="00811AC0"/>
    <w:rsid w:val="0081422C"/>
    <w:rsid w:val="00815C16"/>
    <w:rsid w:val="00815C82"/>
    <w:rsid w:val="00815CFE"/>
    <w:rsid w:val="008160EA"/>
    <w:rsid w:val="008206F5"/>
    <w:rsid w:val="008206F8"/>
    <w:rsid w:val="008210D4"/>
    <w:rsid w:val="00821B89"/>
    <w:rsid w:val="008228E0"/>
    <w:rsid w:val="008263F3"/>
    <w:rsid w:val="0082675F"/>
    <w:rsid w:val="00826E26"/>
    <w:rsid w:val="00826FBC"/>
    <w:rsid w:val="0082728F"/>
    <w:rsid w:val="008278CF"/>
    <w:rsid w:val="00830D46"/>
    <w:rsid w:val="00831499"/>
    <w:rsid w:val="008314E9"/>
    <w:rsid w:val="008331F0"/>
    <w:rsid w:val="008335CA"/>
    <w:rsid w:val="008337E9"/>
    <w:rsid w:val="00834105"/>
    <w:rsid w:val="008359C5"/>
    <w:rsid w:val="00836929"/>
    <w:rsid w:val="00836FA1"/>
    <w:rsid w:val="008374AC"/>
    <w:rsid w:val="008374F6"/>
    <w:rsid w:val="00837DE8"/>
    <w:rsid w:val="0084150D"/>
    <w:rsid w:val="00841AF1"/>
    <w:rsid w:val="008429C1"/>
    <w:rsid w:val="00843C2E"/>
    <w:rsid w:val="00846E4C"/>
    <w:rsid w:val="0084767E"/>
    <w:rsid w:val="00850C07"/>
    <w:rsid w:val="008511AD"/>
    <w:rsid w:val="00852686"/>
    <w:rsid w:val="008557E2"/>
    <w:rsid w:val="00855874"/>
    <w:rsid w:val="008606CA"/>
    <w:rsid w:val="00860E1F"/>
    <w:rsid w:val="00860FAC"/>
    <w:rsid w:val="0086218A"/>
    <w:rsid w:val="00862523"/>
    <w:rsid w:val="008629BB"/>
    <w:rsid w:val="00862EBC"/>
    <w:rsid w:val="00862FEB"/>
    <w:rsid w:val="00864581"/>
    <w:rsid w:val="00864EAF"/>
    <w:rsid w:val="00865E9C"/>
    <w:rsid w:val="00866A76"/>
    <w:rsid w:val="00866B8F"/>
    <w:rsid w:val="0086741F"/>
    <w:rsid w:val="00867BFD"/>
    <w:rsid w:val="00867F85"/>
    <w:rsid w:val="00870D2F"/>
    <w:rsid w:val="00870DCA"/>
    <w:rsid w:val="00871D19"/>
    <w:rsid w:val="00871D31"/>
    <w:rsid w:val="00872399"/>
    <w:rsid w:val="00872C85"/>
    <w:rsid w:val="008733AD"/>
    <w:rsid w:val="00875596"/>
    <w:rsid w:val="00876823"/>
    <w:rsid w:val="00876C1F"/>
    <w:rsid w:val="008817BB"/>
    <w:rsid w:val="00881AE8"/>
    <w:rsid w:val="00882558"/>
    <w:rsid w:val="00882782"/>
    <w:rsid w:val="00882983"/>
    <w:rsid w:val="00883400"/>
    <w:rsid w:val="00883AFB"/>
    <w:rsid w:val="00883F1B"/>
    <w:rsid w:val="0088460D"/>
    <w:rsid w:val="00885772"/>
    <w:rsid w:val="00887866"/>
    <w:rsid w:val="00887E87"/>
    <w:rsid w:val="00890EF4"/>
    <w:rsid w:val="0089193C"/>
    <w:rsid w:val="0089235F"/>
    <w:rsid w:val="0089275F"/>
    <w:rsid w:val="00893CC4"/>
    <w:rsid w:val="00894A3E"/>
    <w:rsid w:val="00896BE6"/>
    <w:rsid w:val="00896F31"/>
    <w:rsid w:val="008A01B4"/>
    <w:rsid w:val="008A0FD7"/>
    <w:rsid w:val="008A1850"/>
    <w:rsid w:val="008A2139"/>
    <w:rsid w:val="008A30D2"/>
    <w:rsid w:val="008A3CE3"/>
    <w:rsid w:val="008A602C"/>
    <w:rsid w:val="008B05FC"/>
    <w:rsid w:val="008B0814"/>
    <w:rsid w:val="008B0F46"/>
    <w:rsid w:val="008B159A"/>
    <w:rsid w:val="008B1DEA"/>
    <w:rsid w:val="008B2218"/>
    <w:rsid w:val="008B2DA2"/>
    <w:rsid w:val="008B3D9E"/>
    <w:rsid w:val="008B4EAA"/>
    <w:rsid w:val="008B51D7"/>
    <w:rsid w:val="008B75F4"/>
    <w:rsid w:val="008C11BC"/>
    <w:rsid w:val="008C1246"/>
    <w:rsid w:val="008C148D"/>
    <w:rsid w:val="008C1F30"/>
    <w:rsid w:val="008C228A"/>
    <w:rsid w:val="008C2DCD"/>
    <w:rsid w:val="008C3174"/>
    <w:rsid w:val="008C384E"/>
    <w:rsid w:val="008C3861"/>
    <w:rsid w:val="008C3D9B"/>
    <w:rsid w:val="008C4C7F"/>
    <w:rsid w:val="008C546B"/>
    <w:rsid w:val="008D068B"/>
    <w:rsid w:val="008D0F21"/>
    <w:rsid w:val="008D1F1D"/>
    <w:rsid w:val="008D2291"/>
    <w:rsid w:val="008D2AE8"/>
    <w:rsid w:val="008D2AF9"/>
    <w:rsid w:val="008D397F"/>
    <w:rsid w:val="008D45B9"/>
    <w:rsid w:val="008D4EA9"/>
    <w:rsid w:val="008D6494"/>
    <w:rsid w:val="008D7AFA"/>
    <w:rsid w:val="008E02E3"/>
    <w:rsid w:val="008E11AF"/>
    <w:rsid w:val="008E12D5"/>
    <w:rsid w:val="008E166D"/>
    <w:rsid w:val="008E1F51"/>
    <w:rsid w:val="008E2CDE"/>
    <w:rsid w:val="008E3041"/>
    <w:rsid w:val="008E460E"/>
    <w:rsid w:val="008E4E49"/>
    <w:rsid w:val="008E515B"/>
    <w:rsid w:val="008E6BD2"/>
    <w:rsid w:val="008E7605"/>
    <w:rsid w:val="008F0612"/>
    <w:rsid w:val="008F0948"/>
    <w:rsid w:val="008F0A0A"/>
    <w:rsid w:val="008F1197"/>
    <w:rsid w:val="008F135C"/>
    <w:rsid w:val="008F1877"/>
    <w:rsid w:val="008F265A"/>
    <w:rsid w:val="008F34C9"/>
    <w:rsid w:val="008F3DD7"/>
    <w:rsid w:val="008F3E92"/>
    <w:rsid w:val="008F6178"/>
    <w:rsid w:val="008F7217"/>
    <w:rsid w:val="00900BC2"/>
    <w:rsid w:val="009016F8"/>
    <w:rsid w:val="009018B1"/>
    <w:rsid w:val="009025E8"/>
    <w:rsid w:val="00902719"/>
    <w:rsid w:val="0090322E"/>
    <w:rsid w:val="00903685"/>
    <w:rsid w:val="00904369"/>
    <w:rsid w:val="00904EA5"/>
    <w:rsid w:val="00905CCC"/>
    <w:rsid w:val="00907715"/>
    <w:rsid w:val="0091289E"/>
    <w:rsid w:val="009167A5"/>
    <w:rsid w:val="00917AB2"/>
    <w:rsid w:val="00920285"/>
    <w:rsid w:val="009203DC"/>
    <w:rsid w:val="00920773"/>
    <w:rsid w:val="009208A8"/>
    <w:rsid w:val="0092142F"/>
    <w:rsid w:val="00921EA4"/>
    <w:rsid w:val="00922C71"/>
    <w:rsid w:val="00923210"/>
    <w:rsid w:val="00923391"/>
    <w:rsid w:val="00924328"/>
    <w:rsid w:val="00924919"/>
    <w:rsid w:val="00924D08"/>
    <w:rsid w:val="009252D4"/>
    <w:rsid w:val="0092559C"/>
    <w:rsid w:val="009268E5"/>
    <w:rsid w:val="00927938"/>
    <w:rsid w:val="00931F8B"/>
    <w:rsid w:val="00932EB0"/>
    <w:rsid w:val="00932EB5"/>
    <w:rsid w:val="00933426"/>
    <w:rsid w:val="00933C6E"/>
    <w:rsid w:val="00933D93"/>
    <w:rsid w:val="009340AF"/>
    <w:rsid w:val="0093426A"/>
    <w:rsid w:val="00934C5C"/>
    <w:rsid w:val="00935506"/>
    <w:rsid w:val="00935667"/>
    <w:rsid w:val="00935B5E"/>
    <w:rsid w:val="00940DD5"/>
    <w:rsid w:val="0094303E"/>
    <w:rsid w:val="009431EE"/>
    <w:rsid w:val="009433EF"/>
    <w:rsid w:val="009435FF"/>
    <w:rsid w:val="00944260"/>
    <w:rsid w:val="00944593"/>
    <w:rsid w:val="00944BBF"/>
    <w:rsid w:val="00944C6A"/>
    <w:rsid w:val="009456B9"/>
    <w:rsid w:val="00945838"/>
    <w:rsid w:val="009473D5"/>
    <w:rsid w:val="00947FA7"/>
    <w:rsid w:val="0095117A"/>
    <w:rsid w:val="00951CA4"/>
    <w:rsid w:val="0095272F"/>
    <w:rsid w:val="00952E1C"/>
    <w:rsid w:val="0095469F"/>
    <w:rsid w:val="009571F4"/>
    <w:rsid w:val="009611CB"/>
    <w:rsid w:val="0096426B"/>
    <w:rsid w:val="0096490E"/>
    <w:rsid w:val="009650CB"/>
    <w:rsid w:val="0096673E"/>
    <w:rsid w:val="00966F0F"/>
    <w:rsid w:val="0097193C"/>
    <w:rsid w:val="0097341D"/>
    <w:rsid w:val="009736A3"/>
    <w:rsid w:val="00976202"/>
    <w:rsid w:val="00976432"/>
    <w:rsid w:val="00980542"/>
    <w:rsid w:val="00980591"/>
    <w:rsid w:val="00980CDE"/>
    <w:rsid w:val="00981BC7"/>
    <w:rsid w:val="00982F23"/>
    <w:rsid w:val="00983B5B"/>
    <w:rsid w:val="00984716"/>
    <w:rsid w:val="0098490C"/>
    <w:rsid w:val="00985093"/>
    <w:rsid w:val="00985E83"/>
    <w:rsid w:val="009874F0"/>
    <w:rsid w:val="00990826"/>
    <w:rsid w:val="00990839"/>
    <w:rsid w:val="00992866"/>
    <w:rsid w:val="00992EAE"/>
    <w:rsid w:val="0099313A"/>
    <w:rsid w:val="00994527"/>
    <w:rsid w:val="00995498"/>
    <w:rsid w:val="00995582"/>
    <w:rsid w:val="00995CBE"/>
    <w:rsid w:val="00996031"/>
    <w:rsid w:val="009960AB"/>
    <w:rsid w:val="009967D7"/>
    <w:rsid w:val="009976DD"/>
    <w:rsid w:val="009A17E9"/>
    <w:rsid w:val="009A1E0F"/>
    <w:rsid w:val="009A320E"/>
    <w:rsid w:val="009A716C"/>
    <w:rsid w:val="009A7889"/>
    <w:rsid w:val="009B0A18"/>
    <w:rsid w:val="009B0D60"/>
    <w:rsid w:val="009B0E12"/>
    <w:rsid w:val="009B15F6"/>
    <w:rsid w:val="009B3850"/>
    <w:rsid w:val="009B6A8B"/>
    <w:rsid w:val="009B7413"/>
    <w:rsid w:val="009B74C7"/>
    <w:rsid w:val="009B7B10"/>
    <w:rsid w:val="009C0346"/>
    <w:rsid w:val="009C0A6C"/>
    <w:rsid w:val="009C0ED2"/>
    <w:rsid w:val="009C111A"/>
    <w:rsid w:val="009C1E1C"/>
    <w:rsid w:val="009C3BD2"/>
    <w:rsid w:val="009C55C7"/>
    <w:rsid w:val="009C5961"/>
    <w:rsid w:val="009C73C8"/>
    <w:rsid w:val="009C7569"/>
    <w:rsid w:val="009C7B81"/>
    <w:rsid w:val="009D3CD1"/>
    <w:rsid w:val="009D3E52"/>
    <w:rsid w:val="009D493A"/>
    <w:rsid w:val="009D556C"/>
    <w:rsid w:val="009D55D5"/>
    <w:rsid w:val="009D5BDD"/>
    <w:rsid w:val="009D626B"/>
    <w:rsid w:val="009D637A"/>
    <w:rsid w:val="009D6B91"/>
    <w:rsid w:val="009D6D92"/>
    <w:rsid w:val="009E01E3"/>
    <w:rsid w:val="009E0F18"/>
    <w:rsid w:val="009E150A"/>
    <w:rsid w:val="009E1B3A"/>
    <w:rsid w:val="009E23C0"/>
    <w:rsid w:val="009E2B2C"/>
    <w:rsid w:val="009E3816"/>
    <w:rsid w:val="009E47C3"/>
    <w:rsid w:val="009E5DC5"/>
    <w:rsid w:val="009E6157"/>
    <w:rsid w:val="009F1A35"/>
    <w:rsid w:val="009F1CEC"/>
    <w:rsid w:val="009F226F"/>
    <w:rsid w:val="009F578C"/>
    <w:rsid w:val="00A0170D"/>
    <w:rsid w:val="00A017ED"/>
    <w:rsid w:val="00A01C1C"/>
    <w:rsid w:val="00A02180"/>
    <w:rsid w:val="00A02E49"/>
    <w:rsid w:val="00A0351B"/>
    <w:rsid w:val="00A04856"/>
    <w:rsid w:val="00A04A9F"/>
    <w:rsid w:val="00A05550"/>
    <w:rsid w:val="00A05C14"/>
    <w:rsid w:val="00A064DF"/>
    <w:rsid w:val="00A06504"/>
    <w:rsid w:val="00A06C99"/>
    <w:rsid w:val="00A11E67"/>
    <w:rsid w:val="00A12148"/>
    <w:rsid w:val="00A126FB"/>
    <w:rsid w:val="00A12E64"/>
    <w:rsid w:val="00A14430"/>
    <w:rsid w:val="00A146CB"/>
    <w:rsid w:val="00A14927"/>
    <w:rsid w:val="00A14C09"/>
    <w:rsid w:val="00A15089"/>
    <w:rsid w:val="00A1576D"/>
    <w:rsid w:val="00A20399"/>
    <w:rsid w:val="00A204DC"/>
    <w:rsid w:val="00A20B2E"/>
    <w:rsid w:val="00A222B2"/>
    <w:rsid w:val="00A22580"/>
    <w:rsid w:val="00A22D7F"/>
    <w:rsid w:val="00A24F29"/>
    <w:rsid w:val="00A250C5"/>
    <w:rsid w:val="00A2554E"/>
    <w:rsid w:val="00A256AC"/>
    <w:rsid w:val="00A25DA0"/>
    <w:rsid w:val="00A26875"/>
    <w:rsid w:val="00A26C6E"/>
    <w:rsid w:val="00A26FE5"/>
    <w:rsid w:val="00A27B3C"/>
    <w:rsid w:val="00A30429"/>
    <w:rsid w:val="00A31700"/>
    <w:rsid w:val="00A32A86"/>
    <w:rsid w:val="00A33166"/>
    <w:rsid w:val="00A33A0A"/>
    <w:rsid w:val="00A342BE"/>
    <w:rsid w:val="00A34CD0"/>
    <w:rsid w:val="00A352B4"/>
    <w:rsid w:val="00A35E10"/>
    <w:rsid w:val="00A35FF7"/>
    <w:rsid w:val="00A36B36"/>
    <w:rsid w:val="00A37022"/>
    <w:rsid w:val="00A419EF"/>
    <w:rsid w:val="00A428C8"/>
    <w:rsid w:val="00A42BF1"/>
    <w:rsid w:val="00A43DE5"/>
    <w:rsid w:val="00A4419E"/>
    <w:rsid w:val="00A45710"/>
    <w:rsid w:val="00A47593"/>
    <w:rsid w:val="00A47848"/>
    <w:rsid w:val="00A47FEF"/>
    <w:rsid w:val="00A50B03"/>
    <w:rsid w:val="00A52821"/>
    <w:rsid w:val="00A54DD0"/>
    <w:rsid w:val="00A561F0"/>
    <w:rsid w:val="00A570EF"/>
    <w:rsid w:val="00A6000C"/>
    <w:rsid w:val="00A60A2D"/>
    <w:rsid w:val="00A60D81"/>
    <w:rsid w:val="00A62040"/>
    <w:rsid w:val="00A62131"/>
    <w:rsid w:val="00A640DB"/>
    <w:rsid w:val="00A64299"/>
    <w:rsid w:val="00A65055"/>
    <w:rsid w:val="00A654B3"/>
    <w:rsid w:val="00A654EE"/>
    <w:rsid w:val="00A657D4"/>
    <w:rsid w:val="00A66534"/>
    <w:rsid w:val="00A66AA6"/>
    <w:rsid w:val="00A66BA7"/>
    <w:rsid w:val="00A67BB5"/>
    <w:rsid w:val="00A70539"/>
    <w:rsid w:val="00A70C32"/>
    <w:rsid w:val="00A72607"/>
    <w:rsid w:val="00A72F2B"/>
    <w:rsid w:val="00A73001"/>
    <w:rsid w:val="00A7315E"/>
    <w:rsid w:val="00A73A72"/>
    <w:rsid w:val="00A73E88"/>
    <w:rsid w:val="00A743A6"/>
    <w:rsid w:val="00A7463D"/>
    <w:rsid w:val="00A7640F"/>
    <w:rsid w:val="00A76D6F"/>
    <w:rsid w:val="00A772A3"/>
    <w:rsid w:val="00A7753D"/>
    <w:rsid w:val="00A7770A"/>
    <w:rsid w:val="00A77EDF"/>
    <w:rsid w:val="00A8131D"/>
    <w:rsid w:val="00A8146A"/>
    <w:rsid w:val="00A814A8"/>
    <w:rsid w:val="00A81D7D"/>
    <w:rsid w:val="00A822D4"/>
    <w:rsid w:val="00A82995"/>
    <w:rsid w:val="00A83618"/>
    <w:rsid w:val="00A83655"/>
    <w:rsid w:val="00A83E77"/>
    <w:rsid w:val="00A84DAC"/>
    <w:rsid w:val="00A8679D"/>
    <w:rsid w:val="00A86ACD"/>
    <w:rsid w:val="00A87A7A"/>
    <w:rsid w:val="00A9050A"/>
    <w:rsid w:val="00A90DFC"/>
    <w:rsid w:val="00A91AA7"/>
    <w:rsid w:val="00A91F93"/>
    <w:rsid w:val="00A928E3"/>
    <w:rsid w:val="00A93BCC"/>
    <w:rsid w:val="00A941AD"/>
    <w:rsid w:val="00A94581"/>
    <w:rsid w:val="00A945ED"/>
    <w:rsid w:val="00A95896"/>
    <w:rsid w:val="00A95C5E"/>
    <w:rsid w:val="00A95EC6"/>
    <w:rsid w:val="00A97249"/>
    <w:rsid w:val="00AA03AD"/>
    <w:rsid w:val="00AA1527"/>
    <w:rsid w:val="00AA1BF8"/>
    <w:rsid w:val="00AA2097"/>
    <w:rsid w:val="00AA41E3"/>
    <w:rsid w:val="00AA475C"/>
    <w:rsid w:val="00AA518C"/>
    <w:rsid w:val="00AA539E"/>
    <w:rsid w:val="00AA5D3A"/>
    <w:rsid w:val="00AA61CA"/>
    <w:rsid w:val="00AA6A2A"/>
    <w:rsid w:val="00AA7560"/>
    <w:rsid w:val="00AA75A5"/>
    <w:rsid w:val="00AA77EB"/>
    <w:rsid w:val="00AA7FF1"/>
    <w:rsid w:val="00AB1846"/>
    <w:rsid w:val="00AB4512"/>
    <w:rsid w:val="00AB6352"/>
    <w:rsid w:val="00AB66F7"/>
    <w:rsid w:val="00AB6D72"/>
    <w:rsid w:val="00AC0374"/>
    <w:rsid w:val="00AC24BC"/>
    <w:rsid w:val="00AC3289"/>
    <w:rsid w:val="00AC4C01"/>
    <w:rsid w:val="00AC5BF1"/>
    <w:rsid w:val="00AC613A"/>
    <w:rsid w:val="00AC6BA3"/>
    <w:rsid w:val="00AD02B4"/>
    <w:rsid w:val="00AD09F1"/>
    <w:rsid w:val="00AD3E6F"/>
    <w:rsid w:val="00AD431C"/>
    <w:rsid w:val="00AD4C84"/>
    <w:rsid w:val="00AD523D"/>
    <w:rsid w:val="00AD724C"/>
    <w:rsid w:val="00AE09FD"/>
    <w:rsid w:val="00AE13D0"/>
    <w:rsid w:val="00AE16EC"/>
    <w:rsid w:val="00AE183F"/>
    <w:rsid w:val="00AE2573"/>
    <w:rsid w:val="00AE29E6"/>
    <w:rsid w:val="00AE36A5"/>
    <w:rsid w:val="00AE44BA"/>
    <w:rsid w:val="00AE536A"/>
    <w:rsid w:val="00AF014A"/>
    <w:rsid w:val="00AF0C66"/>
    <w:rsid w:val="00AF0EC8"/>
    <w:rsid w:val="00AF1CB7"/>
    <w:rsid w:val="00AF4861"/>
    <w:rsid w:val="00AF4AA8"/>
    <w:rsid w:val="00AF510C"/>
    <w:rsid w:val="00B01003"/>
    <w:rsid w:val="00B0115D"/>
    <w:rsid w:val="00B012BB"/>
    <w:rsid w:val="00B01F7E"/>
    <w:rsid w:val="00B02B9D"/>
    <w:rsid w:val="00B02FD8"/>
    <w:rsid w:val="00B03031"/>
    <w:rsid w:val="00B04B41"/>
    <w:rsid w:val="00B05209"/>
    <w:rsid w:val="00B05354"/>
    <w:rsid w:val="00B063F9"/>
    <w:rsid w:val="00B06A5E"/>
    <w:rsid w:val="00B07B14"/>
    <w:rsid w:val="00B10AC2"/>
    <w:rsid w:val="00B10EA2"/>
    <w:rsid w:val="00B119CF"/>
    <w:rsid w:val="00B124E9"/>
    <w:rsid w:val="00B16309"/>
    <w:rsid w:val="00B16466"/>
    <w:rsid w:val="00B1668A"/>
    <w:rsid w:val="00B17D4E"/>
    <w:rsid w:val="00B206F0"/>
    <w:rsid w:val="00B20B7C"/>
    <w:rsid w:val="00B21066"/>
    <w:rsid w:val="00B221ED"/>
    <w:rsid w:val="00B23FF0"/>
    <w:rsid w:val="00B269D5"/>
    <w:rsid w:val="00B31DA8"/>
    <w:rsid w:val="00B31F4D"/>
    <w:rsid w:val="00B32705"/>
    <w:rsid w:val="00B32BF7"/>
    <w:rsid w:val="00B345AA"/>
    <w:rsid w:val="00B3483A"/>
    <w:rsid w:val="00B36290"/>
    <w:rsid w:val="00B36475"/>
    <w:rsid w:val="00B366CC"/>
    <w:rsid w:val="00B36B31"/>
    <w:rsid w:val="00B37789"/>
    <w:rsid w:val="00B40775"/>
    <w:rsid w:val="00B41087"/>
    <w:rsid w:val="00B4199E"/>
    <w:rsid w:val="00B43ECB"/>
    <w:rsid w:val="00B448B7"/>
    <w:rsid w:val="00B44D5F"/>
    <w:rsid w:val="00B44F99"/>
    <w:rsid w:val="00B452BC"/>
    <w:rsid w:val="00B45DD6"/>
    <w:rsid w:val="00B45EEE"/>
    <w:rsid w:val="00B46269"/>
    <w:rsid w:val="00B464B5"/>
    <w:rsid w:val="00B46830"/>
    <w:rsid w:val="00B47497"/>
    <w:rsid w:val="00B476F9"/>
    <w:rsid w:val="00B551FC"/>
    <w:rsid w:val="00B55C1F"/>
    <w:rsid w:val="00B5636E"/>
    <w:rsid w:val="00B56AFC"/>
    <w:rsid w:val="00B56D68"/>
    <w:rsid w:val="00B579F4"/>
    <w:rsid w:val="00B60712"/>
    <w:rsid w:val="00B610F4"/>
    <w:rsid w:val="00B62A57"/>
    <w:rsid w:val="00B6305A"/>
    <w:rsid w:val="00B63554"/>
    <w:rsid w:val="00B636CC"/>
    <w:rsid w:val="00B637B2"/>
    <w:rsid w:val="00B64EA9"/>
    <w:rsid w:val="00B65089"/>
    <w:rsid w:val="00B666DE"/>
    <w:rsid w:val="00B67463"/>
    <w:rsid w:val="00B6764E"/>
    <w:rsid w:val="00B67D11"/>
    <w:rsid w:val="00B708B9"/>
    <w:rsid w:val="00B72C94"/>
    <w:rsid w:val="00B7363B"/>
    <w:rsid w:val="00B74801"/>
    <w:rsid w:val="00B74C74"/>
    <w:rsid w:val="00B750F9"/>
    <w:rsid w:val="00B7540F"/>
    <w:rsid w:val="00B75949"/>
    <w:rsid w:val="00B75A7F"/>
    <w:rsid w:val="00B76007"/>
    <w:rsid w:val="00B76D17"/>
    <w:rsid w:val="00B77870"/>
    <w:rsid w:val="00B77D09"/>
    <w:rsid w:val="00B80594"/>
    <w:rsid w:val="00B815A4"/>
    <w:rsid w:val="00B81D8F"/>
    <w:rsid w:val="00B8371B"/>
    <w:rsid w:val="00B8385E"/>
    <w:rsid w:val="00B84301"/>
    <w:rsid w:val="00B858AD"/>
    <w:rsid w:val="00B85A16"/>
    <w:rsid w:val="00B85E07"/>
    <w:rsid w:val="00B862A4"/>
    <w:rsid w:val="00B86822"/>
    <w:rsid w:val="00B87F15"/>
    <w:rsid w:val="00B90A4E"/>
    <w:rsid w:val="00B913B5"/>
    <w:rsid w:val="00B9145F"/>
    <w:rsid w:val="00B91956"/>
    <w:rsid w:val="00B94328"/>
    <w:rsid w:val="00B94929"/>
    <w:rsid w:val="00B9499D"/>
    <w:rsid w:val="00B94C56"/>
    <w:rsid w:val="00B95A37"/>
    <w:rsid w:val="00B95FC1"/>
    <w:rsid w:val="00B96D54"/>
    <w:rsid w:val="00B96E2B"/>
    <w:rsid w:val="00B970B6"/>
    <w:rsid w:val="00B971C1"/>
    <w:rsid w:val="00BA238E"/>
    <w:rsid w:val="00BA32FA"/>
    <w:rsid w:val="00BA5619"/>
    <w:rsid w:val="00BA5EA9"/>
    <w:rsid w:val="00BA6B65"/>
    <w:rsid w:val="00BA7A75"/>
    <w:rsid w:val="00BA7C36"/>
    <w:rsid w:val="00BA7D19"/>
    <w:rsid w:val="00BA7DB0"/>
    <w:rsid w:val="00BB02D0"/>
    <w:rsid w:val="00BB0330"/>
    <w:rsid w:val="00BB0769"/>
    <w:rsid w:val="00BB0AE6"/>
    <w:rsid w:val="00BB12E0"/>
    <w:rsid w:val="00BB2950"/>
    <w:rsid w:val="00BB2A07"/>
    <w:rsid w:val="00BB3E84"/>
    <w:rsid w:val="00BB46BB"/>
    <w:rsid w:val="00BB4E4D"/>
    <w:rsid w:val="00BB5844"/>
    <w:rsid w:val="00BB5C41"/>
    <w:rsid w:val="00BB6132"/>
    <w:rsid w:val="00BB6140"/>
    <w:rsid w:val="00BB69AB"/>
    <w:rsid w:val="00BB7409"/>
    <w:rsid w:val="00BB743B"/>
    <w:rsid w:val="00BB7467"/>
    <w:rsid w:val="00BB79FF"/>
    <w:rsid w:val="00BC00DA"/>
    <w:rsid w:val="00BC0AAE"/>
    <w:rsid w:val="00BC0BDB"/>
    <w:rsid w:val="00BC19C6"/>
    <w:rsid w:val="00BC2291"/>
    <w:rsid w:val="00BC36A9"/>
    <w:rsid w:val="00BC3E93"/>
    <w:rsid w:val="00BC49EC"/>
    <w:rsid w:val="00BC4CA2"/>
    <w:rsid w:val="00BC4EFD"/>
    <w:rsid w:val="00BC5E07"/>
    <w:rsid w:val="00BC694F"/>
    <w:rsid w:val="00BC70AD"/>
    <w:rsid w:val="00BD122C"/>
    <w:rsid w:val="00BD1AC1"/>
    <w:rsid w:val="00BD498C"/>
    <w:rsid w:val="00BD513F"/>
    <w:rsid w:val="00BD518C"/>
    <w:rsid w:val="00BD5C37"/>
    <w:rsid w:val="00BE096D"/>
    <w:rsid w:val="00BE1126"/>
    <w:rsid w:val="00BE37BA"/>
    <w:rsid w:val="00BE3B54"/>
    <w:rsid w:val="00BE5461"/>
    <w:rsid w:val="00BE5B97"/>
    <w:rsid w:val="00BE5BFA"/>
    <w:rsid w:val="00BE5E2B"/>
    <w:rsid w:val="00BE635B"/>
    <w:rsid w:val="00BE6B62"/>
    <w:rsid w:val="00BE7424"/>
    <w:rsid w:val="00BE74D4"/>
    <w:rsid w:val="00BE7831"/>
    <w:rsid w:val="00BF03AD"/>
    <w:rsid w:val="00BF0EC8"/>
    <w:rsid w:val="00BF1C4E"/>
    <w:rsid w:val="00BF1E17"/>
    <w:rsid w:val="00BF38B5"/>
    <w:rsid w:val="00BF3FA1"/>
    <w:rsid w:val="00BF3FDF"/>
    <w:rsid w:val="00BF4E35"/>
    <w:rsid w:val="00BF5B09"/>
    <w:rsid w:val="00BF7189"/>
    <w:rsid w:val="00BF72A7"/>
    <w:rsid w:val="00BF7FC9"/>
    <w:rsid w:val="00C0227B"/>
    <w:rsid w:val="00C03DC8"/>
    <w:rsid w:val="00C044EF"/>
    <w:rsid w:val="00C04932"/>
    <w:rsid w:val="00C052F3"/>
    <w:rsid w:val="00C05790"/>
    <w:rsid w:val="00C05D8B"/>
    <w:rsid w:val="00C05EB4"/>
    <w:rsid w:val="00C07087"/>
    <w:rsid w:val="00C070D2"/>
    <w:rsid w:val="00C07171"/>
    <w:rsid w:val="00C10148"/>
    <w:rsid w:val="00C124F4"/>
    <w:rsid w:val="00C127CC"/>
    <w:rsid w:val="00C12B48"/>
    <w:rsid w:val="00C12CA0"/>
    <w:rsid w:val="00C12CA8"/>
    <w:rsid w:val="00C12FAE"/>
    <w:rsid w:val="00C1341E"/>
    <w:rsid w:val="00C13C61"/>
    <w:rsid w:val="00C142B0"/>
    <w:rsid w:val="00C176E9"/>
    <w:rsid w:val="00C208E6"/>
    <w:rsid w:val="00C212B7"/>
    <w:rsid w:val="00C22440"/>
    <w:rsid w:val="00C22493"/>
    <w:rsid w:val="00C22610"/>
    <w:rsid w:val="00C22D05"/>
    <w:rsid w:val="00C23B8A"/>
    <w:rsid w:val="00C2461F"/>
    <w:rsid w:val="00C24A8A"/>
    <w:rsid w:val="00C252FD"/>
    <w:rsid w:val="00C25FE9"/>
    <w:rsid w:val="00C26282"/>
    <w:rsid w:val="00C26D36"/>
    <w:rsid w:val="00C27782"/>
    <w:rsid w:val="00C30BB7"/>
    <w:rsid w:val="00C31BFE"/>
    <w:rsid w:val="00C33DDE"/>
    <w:rsid w:val="00C343B3"/>
    <w:rsid w:val="00C348FF"/>
    <w:rsid w:val="00C35260"/>
    <w:rsid w:val="00C37FC9"/>
    <w:rsid w:val="00C408C3"/>
    <w:rsid w:val="00C41C42"/>
    <w:rsid w:val="00C42E17"/>
    <w:rsid w:val="00C43793"/>
    <w:rsid w:val="00C44D8D"/>
    <w:rsid w:val="00C4573B"/>
    <w:rsid w:val="00C46EF4"/>
    <w:rsid w:val="00C47334"/>
    <w:rsid w:val="00C47857"/>
    <w:rsid w:val="00C5253D"/>
    <w:rsid w:val="00C52D2B"/>
    <w:rsid w:val="00C52E40"/>
    <w:rsid w:val="00C5412D"/>
    <w:rsid w:val="00C549B9"/>
    <w:rsid w:val="00C54CFC"/>
    <w:rsid w:val="00C550D1"/>
    <w:rsid w:val="00C567EA"/>
    <w:rsid w:val="00C56859"/>
    <w:rsid w:val="00C57B38"/>
    <w:rsid w:val="00C609B1"/>
    <w:rsid w:val="00C61164"/>
    <w:rsid w:val="00C62158"/>
    <w:rsid w:val="00C6395B"/>
    <w:rsid w:val="00C663E0"/>
    <w:rsid w:val="00C6665F"/>
    <w:rsid w:val="00C673D0"/>
    <w:rsid w:val="00C7049B"/>
    <w:rsid w:val="00C705D7"/>
    <w:rsid w:val="00C7195D"/>
    <w:rsid w:val="00C721AA"/>
    <w:rsid w:val="00C731F2"/>
    <w:rsid w:val="00C73A5A"/>
    <w:rsid w:val="00C73E19"/>
    <w:rsid w:val="00C73EEE"/>
    <w:rsid w:val="00C74121"/>
    <w:rsid w:val="00C75A09"/>
    <w:rsid w:val="00C7617F"/>
    <w:rsid w:val="00C80BA4"/>
    <w:rsid w:val="00C816A2"/>
    <w:rsid w:val="00C81788"/>
    <w:rsid w:val="00C823D2"/>
    <w:rsid w:val="00C837B3"/>
    <w:rsid w:val="00C83E15"/>
    <w:rsid w:val="00C84187"/>
    <w:rsid w:val="00C84DE8"/>
    <w:rsid w:val="00C84E79"/>
    <w:rsid w:val="00C84F2D"/>
    <w:rsid w:val="00C8529E"/>
    <w:rsid w:val="00C85D8D"/>
    <w:rsid w:val="00C86433"/>
    <w:rsid w:val="00C864B8"/>
    <w:rsid w:val="00C86DC7"/>
    <w:rsid w:val="00C87A06"/>
    <w:rsid w:val="00C910BE"/>
    <w:rsid w:val="00C91B63"/>
    <w:rsid w:val="00C92151"/>
    <w:rsid w:val="00C928C6"/>
    <w:rsid w:val="00C92958"/>
    <w:rsid w:val="00C942CF"/>
    <w:rsid w:val="00C94903"/>
    <w:rsid w:val="00C95490"/>
    <w:rsid w:val="00C95A2B"/>
    <w:rsid w:val="00CA0BC8"/>
    <w:rsid w:val="00CA0C84"/>
    <w:rsid w:val="00CA2593"/>
    <w:rsid w:val="00CA37FD"/>
    <w:rsid w:val="00CA4752"/>
    <w:rsid w:val="00CA4A19"/>
    <w:rsid w:val="00CA4D85"/>
    <w:rsid w:val="00CA6295"/>
    <w:rsid w:val="00CA6C7A"/>
    <w:rsid w:val="00CA7397"/>
    <w:rsid w:val="00CA786A"/>
    <w:rsid w:val="00CA7E1B"/>
    <w:rsid w:val="00CB21F5"/>
    <w:rsid w:val="00CB2BEA"/>
    <w:rsid w:val="00CB44AA"/>
    <w:rsid w:val="00CB4A7D"/>
    <w:rsid w:val="00CB4ED2"/>
    <w:rsid w:val="00CB594E"/>
    <w:rsid w:val="00CB59AB"/>
    <w:rsid w:val="00CB5A43"/>
    <w:rsid w:val="00CB64AD"/>
    <w:rsid w:val="00CB6678"/>
    <w:rsid w:val="00CB6923"/>
    <w:rsid w:val="00CB6C79"/>
    <w:rsid w:val="00CC05C2"/>
    <w:rsid w:val="00CC0FDF"/>
    <w:rsid w:val="00CC1169"/>
    <w:rsid w:val="00CC156F"/>
    <w:rsid w:val="00CC158F"/>
    <w:rsid w:val="00CC1BFD"/>
    <w:rsid w:val="00CC5476"/>
    <w:rsid w:val="00CC6844"/>
    <w:rsid w:val="00CD05BB"/>
    <w:rsid w:val="00CD075C"/>
    <w:rsid w:val="00CD0A26"/>
    <w:rsid w:val="00CD2BCB"/>
    <w:rsid w:val="00CD36CE"/>
    <w:rsid w:val="00CD410D"/>
    <w:rsid w:val="00CD4CC4"/>
    <w:rsid w:val="00CD4E7C"/>
    <w:rsid w:val="00CD5410"/>
    <w:rsid w:val="00CD58E7"/>
    <w:rsid w:val="00CD5EF3"/>
    <w:rsid w:val="00CD62B2"/>
    <w:rsid w:val="00CD69F8"/>
    <w:rsid w:val="00CD6F6F"/>
    <w:rsid w:val="00CD7491"/>
    <w:rsid w:val="00CE0350"/>
    <w:rsid w:val="00CE0974"/>
    <w:rsid w:val="00CE099E"/>
    <w:rsid w:val="00CE1CB8"/>
    <w:rsid w:val="00CE2C3C"/>
    <w:rsid w:val="00CE3048"/>
    <w:rsid w:val="00CE38AE"/>
    <w:rsid w:val="00CE3F78"/>
    <w:rsid w:val="00CE4642"/>
    <w:rsid w:val="00CE4656"/>
    <w:rsid w:val="00CE5814"/>
    <w:rsid w:val="00CE5FDE"/>
    <w:rsid w:val="00CE6107"/>
    <w:rsid w:val="00CE6456"/>
    <w:rsid w:val="00CE6AF1"/>
    <w:rsid w:val="00CF0EC6"/>
    <w:rsid w:val="00CF0F8A"/>
    <w:rsid w:val="00CF59D7"/>
    <w:rsid w:val="00CF5F6D"/>
    <w:rsid w:val="00CF60E5"/>
    <w:rsid w:val="00CF6A0F"/>
    <w:rsid w:val="00CF7315"/>
    <w:rsid w:val="00CF7410"/>
    <w:rsid w:val="00CF7452"/>
    <w:rsid w:val="00D013D2"/>
    <w:rsid w:val="00D01F85"/>
    <w:rsid w:val="00D027B6"/>
    <w:rsid w:val="00D02AFB"/>
    <w:rsid w:val="00D03307"/>
    <w:rsid w:val="00D03430"/>
    <w:rsid w:val="00D03BFD"/>
    <w:rsid w:val="00D04ACA"/>
    <w:rsid w:val="00D069D5"/>
    <w:rsid w:val="00D0721C"/>
    <w:rsid w:val="00D074AE"/>
    <w:rsid w:val="00D0770D"/>
    <w:rsid w:val="00D079FC"/>
    <w:rsid w:val="00D1072B"/>
    <w:rsid w:val="00D1145A"/>
    <w:rsid w:val="00D12FB2"/>
    <w:rsid w:val="00D13074"/>
    <w:rsid w:val="00D1392F"/>
    <w:rsid w:val="00D13986"/>
    <w:rsid w:val="00D157B5"/>
    <w:rsid w:val="00D165ED"/>
    <w:rsid w:val="00D16EE7"/>
    <w:rsid w:val="00D1716C"/>
    <w:rsid w:val="00D17341"/>
    <w:rsid w:val="00D17CFB"/>
    <w:rsid w:val="00D204AD"/>
    <w:rsid w:val="00D20A99"/>
    <w:rsid w:val="00D21622"/>
    <w:rsid w:val="00D2275E"/>
    <w:rsid w:val="00D233C0"/>
    <w:rsid w:val="00D246B6"/>
    <w:rsid w:val="00D24F36"/>
    <w:rsid w:val="00D25ADA"/>
    <w:rsid w:val="00D266CD"/>
    <w:rsid w:val="00D266CF"/>
    <w:rsid w:val="00D26795"/>
    <w:rsid w:val="00D274D6"/>
    <w:rsid w:val="00D27CE9"/>
    <w:rsid w:val="00D30AF7"/>
    <w:rsid w:val="00D30F3B"/>
    <w:rsid w:val="00D30F77"/>
    <w:rsid w:val="00D30FA9"/>
    <w:rsid w:val="00D30FB7"/>
    <w:rsid w:val="00D332F1"/>
    <w:rsid w:val="00D334C7"/>
    <w:rsid w:val="00D33966"/>
    <w:rsid w:val="00D34397"/>
    <w:rsid w:val="00D34EC4"/>
    <w:rsid w:val="00D34F24"/>
    <w:rsid w:val="00D36C5C"/>
    <w:rsid w:val="00D433C6"/>
    <w:rsid w:val="00D4386F"/>
    <w:rsid w:val="00D43FAA"/>
    <w:rsid w:val="00D446A6"/>
    <w:rsid w:val="00D45037"/>
    <w:rsid w:val="00D46AA1"/>
    <w:rsid w:val="00D46B15"/>
    <w:rsid w:val="00D46E9D"/>
    <w:rsid w:val="00D47992"/>
    <w:rsid w:val="00D47BAD"/>
    <w:rsid w:val="00D51E15"/>
    <w:rsid w:val="00D51EE0"/>
    <w:rsid w:val="00D52A03"/>
    <w:rsid w:val="00D53FEF"/>
    <w:rsid w:val="00D5407A"/>
    <w:rsid w:val="00D546DE"/>
    <w:rsid w:val="00D54D56"/>
    <w:rsid w:val="00D54DDE"/>
    <w:rsid w:val="00D55D49"/>
    <w:rsid w:val="00D56061"/>
    <w:rsid w:val="00D56461"/>
    <w:rsid w:val="00D57DA2"/>
    <w:rsid w:val="00D60C60"/>
    <w:rsid w:val="00D617FF"/>
    <w:rsid w:val="00D61E71"/>
    <w:rsid w:val="00D62274"/>
    <w:rsid w:val="00D6312A"/>
    <w:rsid w:val="00D63986"/>
    <w:rsid w:val="00D652FD"/>
    <w:rsid w:val="00D67950"/>
    <w:rsid w:val="00D70A3B"/>
    <w:rsid w:val="00D7279B"/>
    <w:rsid w:val="00D728B6"/>
    <w:rsid w:val="00D72A11"/>
    <w:rsid w:val="00D75081"/>
    <w:rsid w:val="00D76EA8"/>
    <w:rsid w:val="00D774EB"/>
    <w:rsid w:val="00D77B51"/>
    <w:rsid w:val="00D81586"/>
    <w:rsid w:val="00D82A21"/>
    <w:rsid w:val="00D82BB1"/>
    <w:rsid w:val="00D82DD7"/>
    <w:rsid w:val="00D8391C"/>
    <w:rsid w:val="00D850CD"/>
    <w:rsid w:val="00D85BED"/>
    <w:rsid w:val="00D86F3F"/>
    <w:rsid w:val="00D87A5D"/>
    <w:rsid w:val="00D90E9F"/>
    <w:rsid w:val="00D91402"/>
    <w:rsid w:val="00D91472"/>
    <w:rsid w:val="00D920D7"/>
    <w:rsid w:val="00D92513"/>
    <w:rsid w:val="00D92C4B"/>
    <w:rsid w:val="00D92FF2"/>
    <w:rsid w:val="00D93636"/>
    <w:rsid w:val="00D93E06"/>
    <w:rsid w:val="00D93F6E"/>
    <w:rsid w:val="00D94302"/>
    <w:rsid w:val="00D94491"/>
    <w:rsid w:val="00D950DC"/>
    <w:rsid w:val="00D96A08"/>
    <w:rsid w:val="00D96C80"/>
    <w:rsid w:val="00D97979"/>
    <w:rsid w:val="00DA116A"/>
    <w:rsid w:val="00DA1EA1"/>
    <w:rsid w:val="00DA2B83"/>
    <w:rsid w:val="00DA304C"/>
    <w:rsid w:val="00DA3F2A"/>
    <w:rsid w:val="00DA4049"/>
    <w:rsid w:val="00DA5B18"/>
    <w:rsid w:val="00DA78DE"/>
    <w:rsid w:val="00DA7C39"/>
    <w:rsid w:val="00DA7FC5"/>
    <w:rsid w:val="00DB0839"/>
    <w:rsid w:val="00DB13D8"/>
    <w:rsid w:val="00DB1934"/>
    <w:rsid w:val="00DB19E8"/>
    <w:rsid w:val="00DB1AA6"/>
    <w:rsid w:val="00DB1D6E"/>
    <w:rsid w:val="00DB2AE9"/>
    <w:rsid w:val="00DB3602"/>
    <w:rsid w:val="00DB3CB8"/>
    <w:rsid w:val="00DB60D5"/>
    <w:rsid w:val="00DC06DC"/>
    <w:rsid w:val="00DC122E"/>
    <w:rsid w:val="00DC1AB1"/>
    <w:rsid w:val="00DC4809"/>
    <w:rsid w:val="00DC4A72"/>
    <w:rsid w:val="00DC56CE"/>
    <w:rsid w:val="00DC604F"/>
    <w:rsid w:val="00DC7CE3"/>
    <w:rsid w:val="00DD0EF9"/>
    <w:rsid w:val="00DD1BCA"/>
    <w:rsid w:val="00DD26B4"/>
    <w:rsid w:val="00DD2E29"/>
    <w:rsid w:val="00DD379E"/>
    <w:rsid w:val="00DD4021"/>
    <w:rsid w:val="00DD4140"/>
    <w:rsid w:val="00DD43A5"/>
    <w:rsid w:val="00DD515E"/>
    <w:rsid w:val="00DD55A7"/>
    <w:rsid w:val="00DD7040"/>
    <w:rsid w:val="00DD7474"/>
    <w:rsid w:val="00DE2D06"/>
    <w:rsid w:val="00DE4D11"/>
    <w:rsid w:val="00DE4F08"/>
    <w:rsid w:val="00DE570C"/>
    <w:rsid w:val="00DE5E6A"/>
    <w:rsid w:val="00DE6DBA"/>
    <w:rsid w:val="00DF010D"/>
    <w:rsid w:val="00DF1A8A"/>
    <w:rsid w:val="00DF1AD2"/>
    <w:rsid w:val="00DF2A36"/>
    <w:rsid w:val="00DF4035"/>
    <w:rsid w:val="00DF4C4B"/>
    <w:rsid w:val="00DF5C7A"/>
    <w:rsid w:val="00DF5CEA"/>
    <w:rsid w:val="00DF6582"/>
    <w:rsid w:val="00DF66F8"/>
    <w:rsid w:val="00DF720B"/>
    <w:rsid w:val="00DF7242"/>
    <w:rsid w:val="00DF741E"/>
    <w:rsid w:val="00DF7FF9"/>
    <w:rsid w:val="00E00CC0"/>
    <w:rsid w:val="00E00F9B"/>
    <w:rsid w:val="00E01BA4"/>
    <w:rsid w:val="00E0311B"/>
    <w:rsid w:val="00E03372"/>
    <w:rsid w:val="00E03959"/>
    <w:rsid w:val="00E03B32"/>
    <w:rsid w:val="00E043FF"/>
    <w:rsid w:val="00E04D53"/>
    <w:rsid w:val="00E054B2"/>
    <w:rsid w:val="00E0558B"/>
    <w:rsid w:val="00E057DE"/>
    <w:rsid w:val="00E063E4"/>
    <w:rsid w:val="00E07C7B"/>
    <w:rsid w:val="00E1133D"/>
    <w:rsid w:val="00E11770"/>
    <w:rsid w:val="00E11BAA"/>
    <w:rsid w:val="00E1284B"/>
    <w:rsid w:val="00E12BA7"/>
    <w:rsid w:val="00E142F3"/>
    <w:rsid w:val="00E1443C"/>
    <w:rsid w:val="00E14511"/>
    <w:rsid w:val="00E20E26"/>
    <w:rsid w:val="00E211D2"/>
    <w:rsid w:val="00E21915"/>
    <w:rsid w:val="00E2193A"/>
    <w:rsid w:val="00E21F1B"/>
    <w:rsid w:val="00E22AD6"/>
    <w:rsid w:val="00E22E7C"/>
    <w:rsid w:val="00E23733"/>
    <w:rsid w:val="00E240BD"/>
    <w:rsid w:val="00E254FD"/>
    <w:rsid w:val="00E27629"/>
    <w:rsid w:val="00E27FDC"/>
    <w:rsid w:val="00E30118"/>
    <w:rsid w:val="00E307C3"/>
    <w:rsid w:val="00E30FE8"/>
    <w:rsid w:val="00E319D7"/>
    <w:rsid w:val="00E3250B"/>
    <w:rsid w:val="00E32D6B"/>
    <w:rsid w:val="00E34F5E"/>
    <w:rsid w:val="00E35084"/>
    <w:rsid w:val="00E35B32"/>
    <w:rsid w:val="00E374F5"/>
    <w:rsid w:val="00E378A9"/>
    <w:rsid w:val="00E40231"/>
    <w:rsid w:val="00E423D0"/>
    <w:rsid w:val="00E42B96"/>
    <w:rsid w:val="00E42CA7"/>
    <w:rsid w:val="00E43FC3"/>
    <w:rsid w:val="00E443AE"/>
    <w:rsid w:val="00E44BD5"/>
    <w:rsid w:val="00E44E40"/>
    <w:rsid w:val="00E45C45"/>
    <w:rsid w:val="00E4606A"/>
    <w:rsid w:val="00E50E6F"/>
    <w:rsid w:val="00E517B5"/>
    <w:rsid w:val="00E52120"/>
    <w:rsid w:val="00E522BE"/>
    <w:rsid w:val="00E532B8"/>
    <w:rsid w:val="00E53E04"/>
    <w:rsid w:val="00E543A5"/>
    <w:rsid w:val="00E546FF"/>
    <w:rsid w:val="00E54CF3"/>
    <w:rsid w:val="00E5547F"/>
    <w:rsid w:val="00E554EC"/>
    <w:rsid w:val="00E55D39"/>
    <w:rsid w:val="00E55F14"/>
    <w:rsid w:val="00E56CED"/>
    <w:rsid w:val="00E56DDD"/>
    <w:rsid w:val="00E56F09"/>
    <w:rsid w:val="00E57731"/>
    <w:rsid w:val="00E57820"/>
    <w:rsid w:val="00E57AE6"/>
    <w:rsid w:val="00E57D83"/>
    <w:rsid w:val="00E61509"/>
    <w:rsid w:val="00E6254F"/>
    <w:rsid w:val="00E62EE5"/>
    <w:rsid w:val="00E63CA3"/>
    <w:rsid w:val="00E6432D"/>
    <w:rsid w:val="00E657E5"/>
    <w:rsid w:val="00E65F53"/>
    <w:rsid w:val="00E66F5C"/>
    <w:rsid w:val="00E6705A"/>
    <w:rsid w:val="00E67F8F"/>
    <w:rsid w:val="00E70029"/>
    <w:rsid w:val="00E70C82"/>
    <w:rsid w:val="00E71EDE"/>
    <w:rsid w:val="00E722C0"/>
    <w:rsid w:val="00E72F11"/>
    <w:rsid w:val="00E75AC6"/>
    <w:rsid w:val="00E76B88"/>
    <w:rsid w:val="00E77237"/>
    <w:rsid w:val="00E779B4"/>
    <w:rsid w:val="00E801F4"/>
    <w:rsid w:val="00E809AD"/>
    <w:rsid w:val="00E81738"/>
    <w:rsid w:val="00E8212A"/>
    <w:rsid w:val="00E830A1"/>
    <w:rsid w:val="00E833DB"/>
    <w:rsid w:val="00E83AE4"/>
    <w:rsid w:val="00E83B1B"/>
    <w:rsid w:val="00E85052"/>
    <w:rsid w:val="00E861A3"/>
    <w:rsid w:val="00E86840"/>
    <w:rsid w:val="00E869CD"/>
    <w:rsid w:val="00E86ABF"/>
    <w:rsid w:val="00E87883"/>
    <w:rsid w:val="00E87F0A"/>
    <w:rsid w:val="00E87F5C"/>
    <w:rsid w:val="00E90251"/>
    <w:rsid w:val="00E91694"/>
    <w:rsid w:val="00E91F53"/>
    <w:rsid w:val="00E91F66"/>
    <w:rsid w:val="00E920BC"/>
    <w:rsid w:val="00E92392"/>
    <w:rsid w:val="00E927FE"/>
    <w:rsid w:val="00E934D9"/>
    <w:rsid w:val="00E9399D"/>
    <w:rsid w:val="00E93AC9"/>
    <w:rsid w:val="00E945EA"/>
    <w:rsid w:val="00E951F3"/>
    <w:rsid w:val="00E9668B"/>
    <w:rsid w:val="00E96A01"/>
    <w:rsid w:val="00E97671"/>
    <w:rsid w:val="00EA01F9"/>
    <w:rsid w:val="00EA0EDC"/>
    <w:rsid w:val="00EA162C"/>
    <w:rsid w:val="00EA366C"/>
    <w:rsid w:val="00EA3EC2"/>
    <w:rsid w:val="00EA3F3D"/>
    <w:rsid w:val="00EA4BA7"/>
    <w:rsid w:val="00EA4DDB"/>
    <w:rsid w:val="00EA52E2"/>
    <w:rsid w:val="00EA5804"/>
    <w:rsid w:val="00EA7A07"/>
    <w:rsid w:val="00EA7A20"/>
    <w:rsid w:val="00EA7AC5"/>
    <w:rsid w:val="00EA7CDC"/>
    <w:rsid w:val="00EA7F1F"/>
    <w:rsid w:val="00EB0898"/>
    <w:rsid w:val="00EB0E8A"/>
    <w:rsid w:val="00EB12A1"/>
    <w:rsid w:val="00EB1FA3"/>
    <w:rsid w:val="00EB2F49"/>
    <w:rsid w:val="00EB556E"/>
    <w:rsid w:val="00EB568E"/>
    <w:rsid w:val="00EB6810"/>
    <w:rsid w:val="00EB6983"/>
    <w:rsid w:val="00EB6CC5"/>
    <w:rsid w:val="00EB704E"/>
    <w:rsid w:val="00EB78E3"/>
    <w:rsid w:val="00EB7A6C"/>
    <w:rsid w:val="00EC0961"/>
    <w:rsid w:val="00EC0C02"/>
    <w:rsid w:val="00EC30B4"/>
    <w:rsid w:val="00EC338B"/>
    <w:rsid w:val="00EC474C"/>
    <w:rsid w:val="00EC47CC"/>
    <w:rsid w:val="00EC49E7"/>
    <w:rsid w:val="00EC4C3F"/>
    <w:rsid w:val="00EC5E53"/>
    <w:rsid w:val="00EC7763"/>
    <w:rsid w:val="00ED09A6"/>
    <w:rsid w:val="00ED0B3C"/>
    <w:rsid w:val="00ED1A07"/>
    <w:rsid w:val="00ED2C73"/>
    <w:rsid w:val="00ED3342"/>
    <w:rsid w:val="00ED574F"/>
    <w:rsid w:val="00ED5BFA"/>
    <w:rsid w:val="00ED6A70"/>
    <w:rsid w:val="00ED7ADB"/>
    <w:rsid w:val="00EE02DE"/>
    <w:rsid w:val="00EE0F85"/>
    <w:rsid w:val="00EE10CC"/>
    <w:rsid w:val="00EE1AB0"/>
    <w:rsid w:val="00EE22E5"/>
    <w:rsid w:val="00EE251D"/>
    <w:rsid w:val="00EE267C"/>
    <w:rsid w:val="00EE2874"/>
    <w:rsid w:val="00EE2969"/>
    <w:rsid w:val="00EE3644"/>
    <w:rsid w:val="00EE39E3"/>
    <w:rsid w:val="00EE3CFA"/>
    <w:rsid w:val="00EE5BD4"/>
    <w:rsid w:val="00EE69F6"/>
    <w:rsid w:val="00EE705B"/>
    <w:rsid w:val="00EE72C9"/>
    <w:rsid w:val="00EF0B48"/>
    <w:rsid w:val="00EF1564"/>
    <w:rsid w:val="00EF1A98"/>
    <w:rsid w:val="00EF2309"/>
    <w:rsid w:val="00EF253C"/>
    <w:rsid w:val="00EF27A2"/>
    <w:rsid w:val="00EF34CE"/>
    <w:rsid w:val="00EF37E4"/>
    <w:rsid w:val="00EF4400"/>
    <w:rsid w:val="00EF4FDC"/>
    <w:rsid w:val="00EF500C"/>
    <w:rsid w:val="00EF54FE"/>
    <w:rsid w:val="00EF5615"/>
    <w:rsid w:val="00EF602C"/>
    <w:rsid w:val="00EF7868"/>
    <w:rsid w:val="00EF7949"/>
    <w:rsid w:val="00EF7CBA"/>
    <w:rsid w:val="00F00374"/>
    <w:rsid w:val="00F004E1"/>
    <w:rsid w:val="00F009D7"/>
    <w:rsid w:val="00F00F80"/>
    <w:rsid w:val="00F01396"/>
    <w:rsid w:val="00F0178D"/>
    <w:rsid w:val="00F01FC9"/>
    <w:rsid w:val="00F03028"/>
    <w:rsid w:val="00F03257"/>
    <w:rsid w:val="00F03367"/>
    <w:rsid w:val="00F04490"/>
    <w:rsid w:val="00F04722"/>
    <w:rsid w:val="00F0513E"/>
    <w:rsid w:val="00F05FA6"/>
    <w:rsid w:val="00F06B98"/>
    <w:rsid w:val="00F073BD"/>
    <w:rsid w:val="00F07AB1"/>
    <w:rsid w:val="00F10E5D"/>
    <w:rsid w:val="00F1160D"/>
    <w:rsid w:val="00F1320E"/>
    <w:rsid w:val="00F136FA"/>
    <w:rsid w:val="00F1384D"/>
    <w:rsid w:val="00F13A30"/>
    <w:rsid w:val="00F13D58"/>
    <w:rsid w:val="00F1413F"/>
    <w:rsid w:val="00F14D25"/>
    <w:rsid w:val="00F15D1E"/>
    <w:rsid w:val="00F15FBD"/>
    <w:rsid w:val="00F16054"/>
    <w:rsid w:val="00F16A1C"/>
    <w:rsid w:val="00F16C18"/>
    <w:rsid w:val="00F16F6F"/>
    <w:rsid w:val="00F17B63"/>
    <w:rsid w:val="00F17CD0"/>
    <w:rsid w:val="00F20D20"/>
    <w:rsid w:val="00F2193A"/>
    <w:rsid w:val="00F21AA2"/>
    <w:rsid w:val="00F21C73"/>
    <w:rsid w:val="00F22E93"/>
    <w:rsid w:val="00F23B52"/>
    <w:rsid w:val="00F23C2E"/>
    <w:rsid w:val="00F24567"/>
    <w:rsid w:val="00F26178"/>
    <w:rsid w:val="00F27180"/>
    <w:rsid w:val="00F30063"/>
    <w:rsid w:val="00F31343"/>
    <w:rsid w:val="00F31992"/>
    <w:rsid w:val="00F31A9F"/>
    <w:rsid w:val="00F32483"/>
    <w:rsid w:val="00F3279A"/>
    <w:rsid w:val="00F32864"/>
    <w:rsid w:val="00F32A86"/>
    <w:rsid w:val="00F33829"/>
    <w:rsid w:val="00F34650"/>
    <w:rsid w:val="00F34A19"/>
    <w:rsid w:val="00F356C1"/>
    <w:rsid w:val="00F36B02"/>
    <w:rsid w:val="00F3701C"/>
    <w:rsid w:val="00F37544"/>
    <w:rsid w:val="00F37BA3"/>
    <w:rsid w:val="00F41125"/>
    <w:rsid w:val="00F41223"/>
    <w:rsid w:val="00F412AB"/>
    <w:rsid w:val="00F41F05"/>
    <w:rsid w:val="00F42089"/>
    <w:rsid w:val="00F42430"/>
    <w:rsid w:val="00F42811"/>
    <w:rsid w:val="00F429CE"/>
    <w:rsid w:val="00F42E1A"/>
    <w:rsid w:val="00F42EB5"/>
    <w:rsid w:val="00F43881"/>
    <w:rsid w:val="00F45F85"/>
    <w:rsid w:val="00F475E3"/>
    <w:rsid w:val="00F47BE4"/>
    <w:rsid w:val="00F502B2"/>
    <w:rsid w:val="00F5180B"/>
    <w:rsid w:val="00F51CA8"/>
    <w:rsid w:val="00F52357"/>
    <w:rsid w:val="00F5313F"/>
    <w:rsid w:val="00F535C8"/>
    <w:rsid w:val="00F53EDE"/>
    <w:rsid w:val="00F549A5"/>
    <w:rsid w:val="00F55635"/>
    <w:rsid w:val="00F55D96"/>
    <w:rsid w:val="00F56591"/>
    <w:rsid w:val="00F573B9"/>
    <w:rsid w:val="00F60560"/>
    <w:rsid w:val="00F631BC"/>
    <w:rsid w:val="00F634DC"/>
    <w:rsid w:val="00F634E7"/>
    <w:rsid w:val="00F6412F"/>
    <w:rsid w:val="00F64436"/>
    <w:rsid w:val="00F645C5"/>
    <w:rsid w:val="00F647D7"/>
    <w:rsid w:val="00F65C3A"/>
    <w:rsid w:val="00F66179"/>
    <w:rsid w:val="00F662C2"/>
    <w:rsid w:val="00F67267"/>
    <w:rsid w:val="00F67729"/>
    <w:rsid w:val="00F67FE7"/>
    <w:rsid w:val="00F70D85"/>
    <w:rsid w:val="00F72C38"/>
    <w:rsid w:val="00F747A0"/>
    <w:rsid w:val="00F75055"/>
    <w:rsid w:val="00F755C3"/>
    <w:rsid w:val="00F75776"/>
    <w:rsid w:val="00F80AFB"/>
    <w:rsid w:val="00F826FE"/>
    <w:rsid w:val="00F8298C"/>
    <w:rsid w:val="00F82F49"/>
    <w:rsid w:val="00F8348C"/>
    <w:rsid w:val="00F8369C"/>
    <w:rsid w:val="00F8474C"/>
    <w:rsid w:val="00F84EB5"/>
    <w:rsid w:val="00F8568D"/>
    <w:rsid w:val="00F85EB8"/>
    <w:rsid w:val="00F86C37"/>
    <w:rsid w:val="00F90B40"/>
    <w:rsid w:val="00F91E3E"/>
    <w:rsid w:val="00F92051"/>
    <w:rsid w:val="00F92EEC"/>
    <w:rsid w:val="00F9365A"/>
    <w:rsid w:val="00F9559D"/>
    <w:rsid w:val="00F95988"/>
    <w:rsid w:val="00F961BF"/>
    <w:rsid w:val="00F963F0"/>
    <w:rsid w:val="00F96DBB"/>
    <w:rsid w:val="00FA0C1A"/>
    <w:rsid w:val="00FA1575"/>
    <w:rsid w:val="00FA157A"/>
    <w:rsid w:val="00FA1ADF"/>
    <w:rsid w:val="00FA589F"/>
    <w:rsid w:val="00FB0286"/>
    <w:rsid w:val="00FB1B7B"/>
    <w:rsid w:val="00FB1FA0"/>
    <w:rsid w:val="00FB23A9"/>
    <w:rsid w:val="00FB3422"/>
    <w:rsid w:val="00FB6238"/>
    <w:rsid w:val="00FB6AEA"/>
    <w:rsid w:val="00FB6F08"/>
    <w:rsid w:val="00FC04B7"/>
    <w:rsid w:val="00FC04F5"/>
    <w:rsid w:val="00FC07A8"/>
    <w:rsid w:val="00FC167D"/>
    <w:rsid w:val="00FC1959"/>
    <w:rsid w:val="00FC246F"/>
    <w:rsid w:val="00FC2538"/>
    <w:rsid w:val="00FC4427"/>
    <w:rsid w:val="00FC4C2A"/>
    <w:rsid w:val="00FC4DAB"/>
    <w:rsid w:val="00FC50CB"/>
    <w:rsid w:val="00FC5A17"/>
    <w:rsid w:val="00FC5B6C"/>
    <w:rsid w:val="00FC64BB"/>
    <w:rsid w:val="00FC6FDC"/>
    <w:rsid w:val="00FD2583"/>
    <w:rsid w:val="00FD27F0"/>
    <w:rsid w:val="00FD2CA4"/>
    <w:rsid w:val="00FD360F"/>
    <w:rsid w:val="00FD37E4"/>
    <w:rsid w:val="00FD40F0"/>
    <w:rsid w:val="00FD44C0"/>
    <w:rsid w:val="00FD54C3"/>
    <w:rsid w:val="00FD6AB0"/>
    <w:rsid w:val="00FE07CE"/>
    <w:rsid w:val="00FE07D9"/>
    <w:rsid w:val="00FE1156"/>
    <w:rsid w:val="00FE1FDB"/>
    <w:rsid w:val="00FE2600"/>
    <w:rsid w:val="00FE3F29"/>
    <w:rsid w:val="00FE43E4"/>
    <w:rsid w:val="00FE44B4"/>
    <w:rsid w:val="00FE505A"/>
    <w:rsid w:val="00FE5F49"/>
    <w:rsid w:val="00FE65AA"/>
    <w:rsid w:val="00FE69B5"/>
    <w:rsid w:val="00FE7E27"/>
    <w:rsid w:val="00FF023A"/>
    <w:rsid w:val="00FF1215"/>
    <w:rsid w:val="00FF28D8"/>
    <w:rsid w:val="00FF3D84"/>
    <w:rsid w:val="00FF4AA9"/>
    <w:rsid w:val="00FF53D4"/>
    <w:rsid w:val="00FF5FFD"/>
    <w:rsid w:val="00FF722A"/>
    <w:rsid w:val="01300741"/>
    <w:rsid w:val="019F044A"/>
    <w:rsid w:val="01D72699"/>
    <w:rsid w:val="025A116D"/>
    <w:rsid w:val="02697C80"/>
    <w:rsid w:val="02726C24"/>
    <w:rsid w:val="029845CA"/>
    <w:rsid w:val="02EA0F01"/>
    <w:rsid w:val="036B3646"/>
    <w:rsid w:val="036E20CA"/>
    <w:rsid w:val="039221F1"/>
    <w:rsid w:val="03A715A3"/>
    <w:rsid w:val="03B55F58"/>
    <w:rsid w:val="047E0255"/>
    <w:rsid w:val="048F38F7"/>
    <w:rsid w:val="0490780D"/>
    <w:rsid w:val="059B714F"/>
    <w:rsid w:val="05B617AF"/>
    <w:rsid w:val="05BE117F"/>
    <w:rsid w:val="05ED7DFF"/>
    <w:rsid w:val="0647354B"/>
    <w:rsid w:val="06726E3C"/>
    <w:rsid w:val="06B22536"/>
    <w:rsid w:val="06ED04F5"/>
    <w:rsid w:val="0717631B"/>
    <w:rsid w:val="08710737"/>
    <w:rsid w:val="0898743A"/>
    <w:rsid w:val="08AF0FB5"/>
    <w:rsid w:val="08CA7294"/>
    <w:rsid w:val="0922005E"/>
    <w:rsid w:val="09500763"/>
    <w:rsid w:val="09756EC7"/>
    <w:rsid w:val="098247ED"/>
    <w:rsid w:val="098B6D8C"/>
    <w:rsid w:val="09E537CD"/>
    <w:rsid w:val="0A354A08"/>
    <w:rsid w:val="0A363980"/>
    <w:rsid w:val="0A5C45B3"/>
    <w:rsid w:val="0A825B6C"/>
    <w:rsid w:val="0AF1028C"/>
    <w:rsid w:val="0B524F99"/>
    <w:rsid w:val="0B5B5548"/>
    <w:rsid w:val="0B6F42C8"/>
    <w:rsid w:val="0BA069F2"/>
    <w:rsid w:val="0BAC09FA"/>
    <w:rsid w:val="0BB80FAA"/>
    <w:rsid w:val="0BFC1972"/>
    <w:rsid w:val="0C874FB1"/>
    <w:rsid w:val="0CB01DC8"/>
    <w:rsid w:val="0D2D770A"/>
    <w:rsid w:val="0D310BE2"/>
    <w:rsid w:val="0D48546A"/>
    <w:rsid w:val="0D66328F"/>
    <w:rsid w:val="0D715D19"/>
    <w:rsid w:val="0DC11D06"/>
    <w:rsid w:val="0DCC2B85"/>
    <w:rsid w:val="0DD7604F"/>
    <w:rsid w:val="0DEB7EFF"/>
    <w:rsid w:val="0DFE0E0F"/>
    <w:rsid w:val="0E4F76A2"/>
    <w:rsid w:val="0E5E4AFE"/>
    <w:rsid w:val="0E7904AD"/>
    <w:rsid w:val="0E827C9C"/>
    <w:rsid w:val="0E8669B2"/>
    <w:rsid w:val="0EAB5D9D"/>
    <w:rsid w:val="0EB37C8C"/>
    <w:rsid w:val="0EB4548F"/>
    <w:rsid w:val="0F214EF4"/>
    <w:rsid w:val="0FC47367"/>
    <w:rsid w:val="0FE13FC5"/>
    <w:rsid w:val="10072013"/>
    <w:rsid w:val="10645732"/>
    <w:rsid w:val="108207F5"/>
    <w:rsid w:val="10A2751E"/>
    <w:rsid w:val="10E4007F"/>
    <w:rsid w:val="10E43B93"/>
    <w:rsid w:val="10F362F7"/>
    <w:rsid w:val="11205324"/>
    <w:rsid w:val="118500D5"/>
    <w:rsid w:val="1197780C"/>
    <w:rsid w:val="11AE4708"/>
    <w:rsid w:val="11D30D0A"/>
    <w:rsid w:val="121C0EFB"/>
    <w:rsid w:val="122C2897"/>
    <w:rsid w:val="12495DC0"/>
    <w:rsid w:val="125F489B"/>
    <w:rsid w:val="12861732"/>
    <w:rsid w:val="12AD4165"/>
    <w:rsid w:val="12C135B5"/>
    <w:rsid w:val="13477D78"/>
    <w:rsid w:val="13642538"/>
    <w:rsid w:val="146D6D52"/>
    <w:rsid w:val="146E3A15"/>
    <w:rsid w:val="148C158E"/>
    <w:rsid w:val="14A03B62"/>
    <w:rsid w:val="14B53920"/>
    <w:rsid w:val="14BD6AC0"/>
    <w:rsid w:val="14CD3F9E"/>
    <w:rsid w:val="15B14759"/>
    <w:rsid w:val="16030940"/>
    <w:rsid w:val="1609357B"/>
    <w:rsid w:val="160935A3"/>
    <w:rsid w:val="160C71D7"/>
    <w:rsid w:val="16424F24"/>
    <w:rsid w:val="16663902"/>
    <w:rsid w:val="16802A7A"/>
    <w:rsid w:val="16C02C5A"/>
    <w:rsid w:val="16EF4B6E"/>
    <w:rsid w:val="17B749A4"/>
    <w:rsid w:val="17B80B09"/>
    <w:rsid w:val="17C73760"/>
    <w:rsid w:val="17F0197B"/>
    <w:rsid w:val="182B319A"/>
    <w:rsid w:val="18693AC8"/>
    <w:rsid w:val="188B2EDD"/>
    <w:rsid w:val="18F02136"/>
    <w:rsid w:val="19267492"/>
    <w:rsid w:val="197C5FD1"/>
    <w:rsid w:val="19C169C8"/>
    <w:rsid w:val="19C94AEA"/>
    <w:rsid w:val="19F27557"/>
    <w:rsid w:val="1A386104"/>
    <w:rsid w:val="1A5E3843"/>
    <w:rsid w:val="1ACA67E7"/>
    <w:rsid w:val="1AF71ECB"/>
    <w:rsid w:val="1B2C139E"/>
    <w:rsid w:val="1BAF73A6"/>
    <w:rsid w:val="1BD70225"/>
    <w:rsid w:val="1C28794E"/>
    <w:rsid w:val="1C3527E8"/>
    <w:rsid w:val="1C6E4AA3"/>
    <w:rsid w:val="1C814C1F"/>
    <w:rsid w:val="1CB03E9C"/>
    <w:rsid w:val="1CC46CF4"/>
    <w:rsid w:val="1CDD796A"/>
    <w:rsid w:val="1CE9158C"/>
    <w:rsid w:val="1CF50FF4"/>
    <w:rsid w:val="1D4B1AB7"/>
    <w:rsid w:val="1D5F56E8"/>
    <w:rsid w:val="1D6C4A79"/>
    <w:rsid w:val="1D9D4E91"/>
    <w:rsid w:val="1DA65B1C"/>
    <w:rsid w:val="1DF43514"/>
    <w:rsid w:val="1E1E766F"/>
    <w:rsid w:val="1E1F9378"/>
    <w:rsid w:val="1E222024"/>
    <w:rsid w:val="1E3F4EA3"/>
    <w:rsid w:val="1E465642"/>
    <w:rsid w:val="1F1259D7"/>
    <w:rsid w:val="1F36503B"/>
    <w:rsid w:val="1F771D4D"/>
    <w:rsid w:val="1FB06316"/>
    <w:rsid w:val="1FD0178C"/>
    <w:rsid w:val="1FDB9324"/>
    <w:rsid w:val="1FEC16F9"/>
    <w:rsid w:val="200A6079"/>
    <w:rsid w:val="202E6FDE"/>
    <w:rsid w:val="204C4C9F"/>
    <w:rsid w:val="206B3A34"/>
    <w:rsid w:val="208C40F0"/>
    <w:rsid w:val="20BB6A73"/>
    <w:rsid w:val="20F807C6"/>
    <w:rsid w:val="20FC0DA6"/>
    <w:rsid w:val="21930484"/>
    <w:rsid w:val="21AE2D3A"/>
    <w:rsid w:val="21D22CDB"/>
    <w:rsid w:val="21E741DD"/>
    <w:rsid w:val="220B2674"/>
    <w:rsid w:val="2219506A"/>
    <w:rsid w:val="221D771B"/>
    <w:rsid w:val="22205D09"/>
    <w:rsid w:val="222840F5"/>
    <w:rsid w:val="227F778F"/>
    <w:rsid w:val="228719BA"/>
    <w:rsid w:val="228D2B3B"/>
    <w:rsid w:val="22E83AF6"/>
    <w:rsid w:val="231B14E9"/>
    <w:rsid w:val="233965E3"/>
    <w:rsid w:val="23CF1CA3"/>
    <w:rsid w:val="240C1D02"/>
    <w:rsid w:val="242E143F"/>
    <w:rsid w:val="24A2013D"/>
    <w:rsid w:val="257E6EB6"/>
    <w:rsid w:val="26174441"/>
    <w:rsid w:val="2637772F"/>
    <w:rsid w:val="26682D1C"/>
    <w:rsid w:val="26824ADC"/>
    <w:rsid w:val="26845BAD"/>
    <w:rsid w:val="26A700DB"/>
    <w:rsid w:val="26BE7FF2"/>
    <w:rsid w:val="270A5204"/>
    <w:rsid w:val="272F0296"/>
    <w:rsid w:val="27893F34"/>
    <w:rsid w:val="27BC2455"/>
    <w:rsid w:val="27BE3857"/>
    <w:rsid w:val="27E622D8"/>
    <w:rsid w:val="286D4849"/>
    <w:rsid w:val="28930F87"/>
    <w:rsid w:val="28B3498D"/>
    <w:rsid w:val="28BF76D5"/>
    <w:rsid w:val="28D67B68"/>
    <w:rsid w:val="28D72F18"/>
    <w:rsid w:val="28E34F4A"/>
    <w:rsid w:val="29701A78"/>
    <w:rsid w:val="29A73018"/>
    <w:rsid w:val="29CD1162"/>
    <w:rsid w:val="29E82BC7"/>
    <w:rsid w:val="29EC2162"/>
    <w:rsid w:val="29F45538"/>
    <w:rsid w:val="2A7147FC"/>
    <w:rsid w:val="2A75653B"/>
    <w:rsid w:val="2A8540CB"/>
    <w:rsid w:val="2A9E0C5A"/>
    <w:rsid w:val="2AAF5B5E"/>
    <w:rsid w:val="2B674918"/>
    <w:rsid w:val="2B7A3401"/>
    <w:rsid w:val="2B8D4F23"/>
    <w:rsid w:val="2B9924FF"/>
    <w:rsid w:val="2BB55B6C"/>
    <w:rsid w:val="2BEF0FC2"/>
    <w:rsid w:val="2C0C18F7"/>
    <w:rsid w:val="2C3122C0"/>
    <w:rsid w:val="2C3E6990"/>
    <w:rsid w:val="2C9C26BC"/>
    <w:rsid w:val="2CC85E72"/>
    <w:rsid w:val="2D1A071F"/>
    <w:rsid w:val="2DC618B0"/>
    <w:rsid w:val="2DC7003F"/>
    <w:rsid w:val="2DDC37CD"/>
    <w:rsid w:val="2DFA667D"/>
    <w:rsid w:val="2E4C1448"/>
    <w:rsid w:val="2E54395F"/>
    <w:rsid w:val="2E630C0E"/>
    <w:rsid w:val="2EA50100"/>
    <w:rsid w:val="2EAB3821"/>
    <w:rsid w:val="2F05597E"/>
    <w:rsid w:val="2F461BE7"/>
    <w:rsid w:val="2F46312A"/>
    <w:rsid w:val="2F876A3D"/>
    <w:rsid w:val="2FBE391E"/>
    <w:rsid w:val="2FC66631"/>
    <w:rsid w:val="2FDA2EB1"/>
    <w:rsid w:val="2FEF3F22"/>
    <w:rsid w:val="2FF55D77"/>
    <w:rsid w:val="301E2D0F"/>
    <w:rsid w:val="303D7D0B"/>
    <w:rsid w:val="30B20987"/>
    <w:rsid w:val="30BE7A6C"/>
    <w:rsid w:val="30C436BB"/>
    <w:rsid w:val="31085B66"/>
    <w:rsid w:val="316026B5"/>
    <w:rsid w:val="31AE0F67"/>
    <w:rsid w:val="31B42E29"/>
    <w:rsid w:val="31F621FB"/>
    <w:rsid w:val="3227163D"/>
    <w:rsid w:val="3249589E"/>
    <w:rsid w:val="328529A1"/>
    <w:rsid w:val="329B6D5F"/>
    <w:rsid w:val="32AC15CD"/>
    <w:rsid w:val="32AE0425"/>
    <w:rsid w:val="32C27434"/>
    <w:rsid w:val="33214CEE"/>
    <w:rsid w:val="33332721"/>
    <w:rsid w:val="334172BD"/>
    <w:rsid w:val="335047E2"/>
    <w:rsid w:val="33690C3D"/>
    <w:rsid w:val="3380742E"/>
    <w:rsid w:val="33875ADF"/>
    <w:rsid w:val="33B27471"/>
    <w:rsid w:val="33EC30C7"/>
    <w:rsid w:val="33ED4073"/>
    <w:rsid w:val="34121385"/>
    <w:rsid w:val="34510706"/>
    <w:rsid w:val="34516C19"/>
    <w:rsid w:val="346035E4"/>
    <w:rsid w:val="347F2CAF"/>
    <w:rsid w:val="34EC6E74"/>
    <w:rsid w:val="350449CD"/>
    <w:rsid w:val="350E0D7E"/>
    <w:rsid w:val="35241148"/>
    <w:rsid w:val="35DC22CB"/>
    <w:rsid w:val="36644684"/>
    <w:rsid w:val="3694007D"/>
    <w:rsid w:val="375149AA"/>
    <w:rsid w:val="37C407BD"/>
    <w:rsid w:val="383C39F7"/>
    <w:rsid w:val="38574595"/>
    <w:rsid w:val="38713CA3"/>
    <w:rsid w:val="38891472"/>
    <w:rsid w:val="38941C2F"/>
    <w:rsid w:val="38964740"/>
    <w:rsid w:val="393666AE"/>
    <w:rsid w:val="39516B55"/>
    <w:rsid w:val="395A5AFF"/>
    <w:rsid w:val="39926C84"/>
    <w:rsid w:val="3A0B1A2A"/>
    <w:rsid w:val="3A5FB0B6"/>
    <w:rsid w:val="3AB64826"/>
    <w:rsid w:val="3ABE4178"/>
    <w:rsid w:val="3AC97E85"/>
    <w:rsid w:val="3ACD5718"/>
    <w:rsid w:val="3AD4173C"/>
    <w:rsid w:val="3B0054BE"/>
    <w:rsid w:val="3B2C2A5B"/>
    <w:rsid w:val="3B64526A"/>
    <w:rsid w:val="3B686A9F"/>
    <w:rsid w:val="3C1516AD"/>
    <w:rsid w:val="3C717EA4"/>
    <w:rsid w:val="3C72055B"/>
    <w:rsid w:val="3CA13E3B"/>
    <w:rsid w:val="3CDC08DC"/>
    <w:rsid w:val="3CF22882"/>
    <w:rsid w:val="3D005511"/>
    <w:rsid w:val="3D2F456C"/>
    <w:rsid w:val="3D412432"/>
    <w:rsid w:val="3D9C754C"/>
    <w:rsid w:val="3DA624E7"/>
    <w:rsid w:val="3DF04D5E"/>
    <w:rsid w:val="3DF56DC6"/>
    <w:rsid w:val="3E4B4B1C"/>
    <w:rsid w:val="3E8E6E9C"/>
    <w:rsid w:val="3E924446"/>
    <w:rsid w:val="3F0D73EF"/>
    <w:rsid w:val="3F2819CA"/>
    <w:rsid w:val="3F8D0CF6"/>
    <w:rsid w:val="3FA750C9"/>
    <w:rsid w:val="3FA84496"/>
    <w:rsid w:val="40B27BEA"/>
    <w:rsid w:val="40B864DF"/>
    <w:rsid w:val="411A2007"/>
    <w:rsid w:val="415D523C"/>
    <w:rsid w:val="418A5159"/>
    <w:rsid w:val="418C7EAA"/>
    <w:rsid w:val="41C5056F"/>
    <w:rsid w:val="41CA2C28"/>
    <w:rsid w:val="41FE0135"/>
    <w:rsid w:val="42194A25"/>
    <w:rsid w:val="422E3127"/>
    <w:rsid w:val="42791298"/>
    <w:rsid w:val="43073968"/>
    <w:rsid w:val="434E4C85"/>
    <w:rsid w:val="4354174D"/>
    <w:rsid w:val="43677D96"/>
    <w:rsid w:val="437E21E6"/>
    <w:rsid w:val="43AA77A1"/>
    <w:rsid w:val="43D61691"/>
    <w:rsid w:val="44377EE9"/>
    <w:rsid w:val="44427DCF"/>
    <w:rsid w:val="44AD0DBD"/>
    <w:rsid w:val="44D869FF"/>
    <w:rsid w:val="44FE115F"/>
    <w:rsid w:val="45505E2E"/>
    <w:rsid w:val="45B4255D"/>
    <w:rsid w:val="45ED7F31"/>
    <w:rsid w:val="460B015C"/>
    <w:rsid w:val="46537023"/>
    <w:rsid w:val="46615C6B"/>
    <w:rsid w:val="46791A24"/>
    <w:rsid w:val="468C0C89"/>
    <w:rsid w:val="46CA4711"/>
    <w:rsid w:val="47287B47"/>
    <w:rsid w:val="4738750C"/>
    <w:rsid w:val="4767384C"/>
    <w:rsid w:val="47965048"/>
    <w:rsid w:val="47CF5E5C"/>
    <w:rsid w:val="47D21342"/>
    <w:rsid w:val="4858346C"/>
    <w:rsid w:val="48A036C5"/>
    <w:rsid w:val="48B21E5B"/>
    <w:rsid w:val="48CD484D"/>
    <w:rsid w:val="48E9545D"/>
    <w:rsid w:val="492C49D4"/>
    <w:rsid w:val="4930480B"/>
    <w:rsid w:val="49CB64A6"/>
    <w:rsid w:val="49D81A22"/>
    <w:rsid w:val="4A0015E8"/>
    <w:rsid w:val="4A1719C1"/>
    <w:rsid w:val="4AEB144C"/>
    <w:rsid w:val="4B1E5B6F"/>
    <w:rsid w:val="4B2B7E66"/>
    <w:rsid w:val="4B5B476B"/>
    <w:rsid w:val="4B98369D"/>
    <w:rsid w:val="4BB51E71"/>
    <w:rsid w:val="4BFD30F0"/>
    <w:rsid w:val="4C5132D5"/>
    <w:rsid w:val="4C910C6B"/>
    <w:rsid w:val="4CCA1138"/>
    <w:rsid w:val="4CCA71F4"/>
    <w:rsid w:val="4D041D47"/>
    <w:rsid w:val="4D6C1DDD"/>
    <w:rsid w:val="4D6D4CA9"/>
    <w:rsid w:val="4DA91EB3"/>
    <w:rsid w:val="4DB17B2A"/>
    <w:rsid w:val="4DDF2621"/>
    <w:rsid w:val="4E0E01A7"/>
    <w:rsid w:val="4E435DD7"/>
    <w:rsid w:val="4E79078E"/>
    <w:rsid w:val="4EC9317C"/>
    <w:rsid w:val="4EF97BFC"/>
    <w:rsid w:val="4F163CAC"/>
    <w:rsid w:val="4F2E2BA9"/>
    <w:rsid w:val="4F4B008B"/>
    <w:rsid w:val="4F60023E"/>
    <w:rsid w:val="4F66621E"/>
    <w:rsid w:val="4F6A6705"/>
    <w:rsid w:val="4F96006C"/>
    <w:rsid w:val="4F983F02"/>
    <w:rsid w:val="5017090D"/>
    <w:rsid w:val="50740712"/>
    <w:rsid w:val="507E23D4"/>
    <w:rsid w:val="50B20FD6"/>
    <w:rsid w:val="50E8774E"/>
    <w:rsid w:val="510F660F"/>
    <w:rsid w:val="511E01B8"/>
    <w:rsid w:val="51212BE2"/>
    <w:rsid w:val="51225FC7"/>
    <w:rsid w:val="51BF75E1"/>
    <w:rsid w:val="51EA5538"/>
    <w:rsid w:val="52277FF9"/>
    <w:rsid w:val="52656549"/>
    <w:rsid w:val="52CB2CE8"/>
    <w:rsid w:val="534F2364"/>
    <w:rsid w:val="535F69F2"/>
    <w:rsid w:val="53C24EB2"/>
    <w:rsid w:val="53CA184E"/>
    <w:rsid w:val="53E268D3"/>
    <w:rsid w:val="54034500"/>
    <w:rsid w:val="542135FD"/>
    <w:rsid w:val="5424051B"/>
    <w:rsid w:val="542B31E5"/>
    <w:rsid w:val="549550CE"/>
    <w:rsid w:val="54F1735B"/>
    <w:rsid w:val="54FA12C3"/>
    <w:rsid w:val="54FD114E"/>
    <w:rsid w:val="54FD6EF7"/>
    <w:rsid w:val="552E44ED"/>
    <w:rsid w:val="55EC6F84"/>
    <w:rsid w:val="56863B4E"/>
    <w:rsid w:val="56920963"/>
    <w:rsid w:val="56D6547E"/>
    <w:rsid w:val="57086D45"/>
    <w:rsid w:val="570A4109"/>
    <w:rsid w:val="576D5E52"/>
    <w:rsid w:val="578B68E4"/>
    <w:rsid w:val="578F5BEB"/>
    <w:rsid w:val="583D1F7C"/>
    <w:rsid w:val="585A055E"/>
    <w:rsid w:val="588349BD"/>
    <w:rsid w:val="589D4022"/>
    <w:rsid w:val="58CD77DE"/>
    <w:rsid w:val="58F20A09"/>
    <w:rsid w:val="58F61D55"/>
    <w:rsid w:val="590927AA"/>
    <w:rsid w:val="59684E0A"/>
    <w:rsid w:val="59E96BF6"/>
    <w:rsid w:val="5A18612F"/>
    <w:rsid w:val="5A207270"/>
    <w:rsid w:val="5A5F5DBF"/>
    <w:rsid w:val="5A64464C"/>
    <w:rsid w:val="5A737799"/>
    <w:rsid w:val="5B075894"/>
    <w:rsid w:val="5B5170D5"/>
    <w:rsid w:val="5B7A4C7A"/>
    <w:rsid w:val="5B9E5266"/>
    <w:rsid w:val="5BA9344B"/>
    <w:rsid w:val="5BBC3900"/>
    <w:rsid w:val="5BCB0DD7"/>
    <w:rsid w:val="5C497B9D"/>
    <w:rsid w:val="5CF60AEE"/>
    <w:rsid w:val="5CF731B9"/>
    <w:rsid w:val="5D1547F0"/>
    <w:rsid w:val="5D56073A"/>
    <w:rsid w:val="5DBE33E3"/>
    <w:rsid w:val="5DEA18D6"/>
    <w:rsid w:val="5DF56852"/>
    <w:rsid w:val="5DF66733"/>
    <w:rsid w:val="5E07104F"/>
    <w:rsid w:val="5E1B25B7"/>
    <w:rsid w:val="5E3D5CAC"/>
    <w:rsid w:val="5E6C50B7"/>
    <w:rsid w:val="5EA169FB"/>
    <w:rsid w:val="5ECE3E3D"/>
    <w:rsid w:val="5EEE3C85"/>
    <w:rsid w:val="5F3F008F"/>
    <w:rsid w:val="5F7F2DA4"/>
    <w:rsid w:val="5F947F63"/>
    <w:rsid w:val="5FB97A69"/>
    <w:rsid w:val="5FDF3D13"/>
    <w:rsid w:val="5FF61789"/>
    <w:rsid w:val="60063ECC"/>
    <w:rsid w:val="600F2555"/>
    <w:rsid w:val="60A35A96"/>
    <w:rsid w:val="60C11F42"/>
    <w:rsid w:val="60CE4CF0"/>
    <w:rsid w:val="614C174B"/>
    <w:rsid w:val="618D2537"/>
    <w:rsid w:val="61D531A6"/>
    <w:rsid w:val="61E8406D"/>
    <w:rsid w:val="6218079A"/>
    <w:rsid w:val="622B27A9"/>
    <w:rsid w:val="62741959"/>
    <w:rsid w:val="62A85399"/>
    <w:rsid w:val="62C81FB9"/>
    <w:rsid w:val="62E500BD"/>
    <w:rsid w:val="6346711E"/>
    <w:rsid w:val="63521953"/>
    <w:rsid w:val="63B33B56"/>
    <w:rsid w:val="63D80DCF"/>
    <w:rsid w:val="63FC5804"/>
    <w:rsid w:val="64040F05"/>
    <w:rsid w:val="648A3BD5"/>
    <w:rsid w:val="64A032D5"/>
    <w:rsid w:val="64C16F28"/>
    <w:rsid w:val="65564857"/>
    <w:rsid w:val="659D5C14"/>
    <w:rsid w:val="65C53779"/>
    <w:rsid w:val="65D916DC"/>
    <w:rsid w:val="65F61B63"/>
    <w:rsid w:val="667737D6"/>
    <w:rsid w:val="669D5174"/>
    <w:rsid w:val="66A117FB"/>
    <w:rsid w:val="66BF78D5"/>
    <w:rsid w:val="66C14B2A"/>
    <w:rsid w:val="66CD76E6"/>
    <w:rsid w:val="66D071AD"/>
    <w:rsid w:val="66FC0C96"/>
    <w:rsid w:val="670479DE"/>
    <w:rsid w:val="672165C4"/>
    <w:rsid w:val="672B26C3"/>
    <w:rsid w:val="67304011"/>
    <w:rsid w:val="673E3030"/>
    <w:rsid w:val="67483897"/>
    <w:rsid w:val="67C1779F"/>
    <w:rsid w:val="67EF05EB"/>
    <w:rsid w:val="6803389C"/>
    <w:rsid w:val="68050197"/>
    <w:rsid w:val="6805273F"/>
    <w:rsid w:val="68700842"/>
    <w:rsid w:val="687D6675"/>
    <w:rsid w:val="68801F37"/>
    <w:rsid w:val="68933E6F"/>
    <w:rsid w:val="68F814DD"/>
    <w:rsid w:val="69342D33"/>
    <w:rsid w:val="6A6B1717"/>
    <w:rsid w:val="6AB83E07"/>
    <w:rsid w:val="6AC43209"/>
    <w:rsid w:val="6B054181"/>
    <w:rsid w:val="6B09634F"/>
    <w:rsid w:val="6B155A89"/>
    <w:rsid w:val="6B316F5E"/>
    <w:rsid w:val="6B3771D3"/>
    <w:rsid w:val="6B3F722A"/>
    <w:rsid w:val="6B557107"/>
    <w:rsid w:val="6BC82689"/>
    <w:rsid w:val="6BF245FA"/>
    <w:rsid w:val="6BF7704A"/>
    <w:rsid w:val="6BFC1973"/>
    <w:rsid w:val="6C21632F"/>
    <w:rsid w:val="6C2423AC"/>
    <w:rsid w:val="6C2C4441"/>
    <w:rsid w:val="6C39349E"/>
    <w:rsid w:val="6C876B4C"/>
    <w:rsid w:val="6CD44989"/>
    <w:rsid w:val="6D055B67"/>
    <w:rsid w:val="6D1974A2"/>
    <w:rsid w:val="6D431E4A"/>
    <w:rsid w:val="6D5C6674"/>
    <w:rsid w:val="6D661A2C"/>
    <w:rsid w:val="6D740AD6"/>
    <w:rsid w:val="6D99010E"/>
    <w:rsid w:val="6DF30880"/>
    <w:rsid w:val="6E237274"/>
    <w:rsid w:val="6E4E3A2B"/>
    <w:rsid w:val="6EAB7237"/>
    <w:rsid w:val="6ED65EB5"/>
    <w:rsid w:val="6F1775C5"/>
    <w:rsid w:val="6F452BD1"/>
    <w:rsid w:val="6FCA015A"/>
    <w:rsid w:val="6FE80BA6"/>
    <w:rsid w:val="70111466"/>
    <w:rsid w:val="70120293"/>
    <w:rsid w:val="70633F97"/>
    <w:rsid w:val="707F0126"/>
    <w:rsid w:val="70806719"/>
    <w:rsid w:val="70C4418B"/>
    <w:rsid w:val="70CC2A25"/>
    <w:rsid w:val="70D24192"/>
    <w:rsid w:val="70F62966"/>
    <w:rsid w:val="71515B14"/>
    <w:rsid w:val="716E6CB6"/>
    <w:rsid w:val="71774FE4"/>
    <w:rsid w:val="718D6E30"/>
    <w:rsid w:val="71C67292"/>
    <w:rsid w:val="71CE6393"/>
    <w:rsid w:val="71CF00F3"/>
    <w:rsid w:val="72092E01"/>
    <w:rsid w:val="723948D4"/>
    <w:rsid w:val="725C6AB5"/>
    <w:rsid w:val="72747A64"/>
    <w:rsid w:val="72EE3C7B"/>
    <w:rsid w:val="73042659"/>
    <w:rsid w:val="730A65A4"/>
    <w:rsid w:val="73D4A40E"/>
    <w:rsid w:val="73D57622"/>
    <w:rsid w:val="73DA549A"/>
    <w:rsid w:val="73E22A85"/>
    <w:rsid w:val="73E50523"/>
    <w:rsid w:val="74DA1C1B"/>
    <w:rsid w:val="74E4431A"/>
    <w:rsid w:val="75197009"/>
    <w:rsid w:val="75391B96"/>
    <w:rsid w:val="754B5BC4"/>
    <w:rsid w:val="75575273"/>
    <w:rsid w:val="75A446AA"/>
    <w:rsid w:val="75C81FE0"/>
    <w:rsid w:val="75CB49C3"/>
    <w:rsid w:val="75D21A57"/>
    <w:rsid w:val="76D06DFB"/>
    <w:rsid w:val="76E75155"/>
    <w:rsid w:val="773650E2"/>
    <w:rsid w:val="775A109A"/>
    <w:rsid w:val="777D651D"/>
    <w:rsid w:val="779D673C"/>
    <w:rsid w:val="77B0575E"/>
    <w:rsid w:val="781131B1"/>
    <w:rsid w:val="78555B16"/>
    <w:rsid w:val="785D30DE"/>
    <w:rsid w:val="78FF7012"/>
    <w:rsid w:val="79314168"/>
    <w:rsid w:val="79642D4D"/>
    <w:rsid w:val="7A1645D0"/>
    <w:rsid w:val="7A200B9D"/>
    <w:rsid w:val="7A2772A6"/>
    <w:rsid w:val="7A3A6B8A"/>
    <w:rsid w:val="7A532B92"/>
    <w:rsid w:val="7AA614CC"/>
    <w:rsid w:val="7ADB38D9"/>
    <w:rsid w:val="7B650F97"/>
    <w:rsid w:val="7B855764"/>
    <w:rsid w:val="7B916818"/>
    <w:rsid w:val="7BC838FD"/>
    <w:rsid w:val="7BE31686"/>
    <w:rsid w:val="7BEC7314"/>
    <w:rsid w:val="7BF22F96"/>
    <w:rsid w:val="7BF812F6"/>
    <w:rsid w:val="7C252C2F"/>
    <w:rsid w:val="7C7E3D9C"/>
    <w:rsid w:val="7C8A4961"/>
    <w:rsid w:val="7CF837E6"/>
    <w:rsid w:val="7D2F5193"/>
    <w:rsid w:val="7D487FE9"/>
    <w:rsid w:val="7D4A5CAE"/>
    <w:rsid w:val="7D4C77E2"/>
    <w:rsid w:val="7D995484"/>
    <w:rsid w:val="7DE01EAB"/>
    <w:rsid w:val="7E096834"/>
    <w:rsid w:val="7E254854"/>
    <w:rsid w:val="7E26105B"/>
    <w:rsid w:val="7E475605"/>
    <w:rsid w:val="7E621AE8"/>
    <w:rsid w:val="7E8D1254"/>
    <w:rsid w:val="7E94140F"/>
    <w:rsid w:val="7F8F3A3A"/>
    <w:rsid w:val="7FA02579"/>
    <w:rsid w:val="7FACC26E"/>
    <w:rsid w:val="7FB7D95F"/>
    <w:rsid w:val="C5EFE9F9"/>
    <w:rsid w:val="CDB6F1C3"/>
    <w:rsid w:val="DFFF881B"/>
    <w:rsid w:val="E0F9481C"/>
    <w:rsid w:val="E7FFB2B1"/>
    <w:rsid w:val="F7E9C050"/>
    <w:rsid w:val="FADEA13F"/>
    <w:rsid w:val="FBDB0BC0"/>
    <w:rsid w:val="FEB850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5"/>
    <w:qFormat/>
    <w:uiPriority w:val="0"/>
    <w:pPr>
      <w:keepNext/>
      <w:keepLines/>
      <w:adjustRightInd w:val="0"/>
      <w:snapToGrid w:val="0"/>
      <w:spacing w:beforeLines="50" w:afterLines="50" w:line="360" w:lineRule="auto"/>
      <w:jc w:val="center"/>
      <w:outlineLvl w:val="1"/>
    </w:pPr>
    <w:rPr>
      <w:rFonts w:ascii="Arial" w:hAnsi="Arial" w:eastAsia="楷体"/>
      <w:b/>
      <w:bCs/>
      <w:szCs w:val="32"/>
      <w:lang w:val="zh-CN"/>
    </w:rPr>
  </w:style>
  <w:style w:type="paragraph" w:styleId="6">
    <w:name w:val="heading 3"/>
    <w:basedOn w:val="1"/>
    <w:next w:val="1"/>
    <w:link w:val="26"/>
    <w:qFormat/>
    <w:uiPriority w:val="99"/>
    <w:pPr>
      <w:spacing w:before="100" w:beforeAutospacing="1" w:after="100" w:afterAutospacing="1"/>
      <w:jc w:val="left"/>
      <w:outlineLvl w:val="2"/>
    </w:pPr>
    <w:rPr>
      <w:rFonts w:hint="eastAsia" w:ascii="宋体" w:hAnsi="宋体" w:cs="宋体"/>
      <w:b/>
      <w:kern w:val="0"/>
      <w:sz w:val="27"/>
      <w:szCs w:val="27"/>
    </w:rPr>
  </w:style>
  <w:style w:type="paragraph" w:styleId="7">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semiHidden/>
    <w:unhideWhenUsed/>
    <w:qFormat/>
    <w:uiPriority w:val="99"/>
    <w:pPr>
      <w:spacing w:after="120"/>
    </w:p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text"/>
    <w:basedOn w:val="1"/>
    <w:link w:val="36"/>
    <w:unhideWhenUsed/>
    <w:qFormat/>
    <w:uiPriority w:val="99"/>
    <w:pPr>
      <w:jc w:val="left"/>
    </w:pPr>
  </w:style>
  <w:style w:type="paragraph" w:styleId="9">
    <w:name w:val="Body Text Indent"/>
    <w:basedOn w:val="1"/>
    <w:link w:val="27"/>
    <w:semiHidden/>
    <w:unhideWhenUsed/>
    <w:qFormat/>
    <w:uiPriority w:val="99"/>
    <w:pPr>
      <w:spacing w:after="120"/>
      <w:ind w:left="420" w:leftChars="200"/>
    </w:pPr>
  </w:style>
  <w:style w:type="paragraph" w:styleId="10">
    <w:name w:val="toc 3"/>
    <w:basedOn w:val="1"/>
    <w:next w:val="1"/>
    <w:unhideWhenUsed/>
    <w:qFormat/>
    <w:uiPriority w:val="39"/>
    <w:pPr>
      <w:ind w:left="840" w:leftChars="400"/>
    </w:pPr>
  </w:style>
  <w:style w:type="paragraph" w:styleId="11">
    <w:name w:val="Date"/>
    <w:basedOn w:val="1"/>
    <w:next w:val="1"/>
    <w:link w:val="41"/>
    <w:semiHidden/>
    <w:unhideWhenUsed/>
    <w:qFormat/>
    <w:uiPriority w:val="99"/>
    <w:pPr>
      <w:ind w:left="100" w:leftChars="2500"/>
    </w:pPr>
  </w:style>
  <w:style w:type="paragraph" w:styleId="12">
    <w:name w:val="Balloon Text"/>
    <w:basedOn w:val="1"/>
    <w:link w:val="29"/>
    <w:semiHidden/>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toc 1"/>
    <w:basedOn w:val="1"/>
    <w:next w:val="1"/>
    <w:unhideWhenUsed/>
    <w:qFormat/>
    <w:uiPriority w:val="39"/>
    <w:pPr>
      <w:tabs>
        <w:tab w:val="right" w:leader="dot" w:pos="8720"/>
      </w:tabs>
    </w:pPr>
    <w:rPr>
      <w:rFonts w:ascii="Times New Roman" w:hAnsi="Times New Roman" w:eastAsia="黑体"/>
      <w:sz w:val="24"/>
      <w:szCs w:val="32"/>
    </w:rPr>
  </w:style>
  <w:style w:type="paragraph" w:styleId="15">
    <w:name w:val="toc 2"/>
    <w:basedOn w:val="1"/>
    <w:next w:val="1"/>
    <w:unhideWhenUsed/>
    <w:qFormat/>
    <w:uiPriority w:val="39"/>
    <w:pPr>
      <w:ind w:left="420" w:leftChars="200"/>
    </w:pPr>
  </w:style>
  <w:style w:type="paragraph" w:styleId="16">
    <w:name w:val="annotation subject"/>
    <w:basedOn w:val="8"/>
    <w:next w:val="8"/>
    <w:link w:val="37"/>
    <w:semiHidden/>
    <w:unhideWhenUsed/>
    <w:qFormat/>
    <w:uiPriority w:val="99"/>
    <w:rPr>
      <w:b/>
      <w:bCs/>
    </w:rPr>
  </w:style>
  <w:style w:type="paragraph" w:styleId="17">
    <w:name w:val="Body Text First Indent 2"/>
    <w:basedOn w:val="9"/>
    <w:link w:val="28"/>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qFormat/>
    <w:uiPriority w:val="99"/>
    <w:rPr>
      <w:color w:val="800080"/>
      <w:u w:val="single"/>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Normal Indent1"/>
    <w:basedOn w:val="1"/>
    <w:qFormat/>
    <w:uiPriority w:val="0"/>
    <w:pPr>
      <w:ind w:firstLine="420" w:firstLineChars="200"/>
    </w:pPr>
  </w:style>
  <w:style w:type="character" w:customStyle="1" w:styleId="25">
    <w:name w:val="标题 2 Char"/>
    <w:basedOn w:val="20"/>
    <w:link w:val="5"/>
    <w:qFormat/>
    <w:uiPriority w:val="0"/>
    <w:rPr>
      <w:rFonts w:ascii="Arial" w:hAnsi="Arial" w:eastAsia="楷体" w:cs="Times New Roman"/>
      <w:b/>
      <w:bCs/>
      <w:sz w:val="32"/>
      <w:szCs w:val="32"/>
      <w:lang w:val="zh-CN" w:eastAsia="zh-CN"/>
    </w:rPr>
  </w:style>
  <w:style w:type="character" w:customStyle="1" w:styleId="26">
    <w:name w:val="标题 3 Char"/>
    <w:basedOn w:val="20"/>
    <w:link w:val="6"/>
    <w:qFormat/>
    <w:uiPriority w:val="99"/>
    <w:rPr>
      <w:rFonts w:ascii="宋体" w:hAnsi="宋体" w:eastAsia="宋体" w:cs="宋体"/>
      <w:b/>
      <w:kern w:val="0"/>
      <w:sz w:val="27"/>
      <w:szCs w:val="27"/>
    </w:rPr>
  </w:style>
  <w:style w:type="character" w:customStyle="1" w:styleId="27">
    <w:name w:val="正文文本缩进 Char"/>
    <w:basedOn w:val="20"/>
    <w:link w:val="9"/>
    <w:semiHidden/>
    <w:qFormat/>
    <w:uiPriority w:val="99"/>
    <w:rPr>
      <w:rFonts w:ascii="Calibri" w:hAnsi="Calibri" w:eastAsia="宋体" w:cs="Times New Roman"/>
      <w:szCs w:val="24"/>
    </w:rPr>
  </w:style>
  <w:style w:type="character" w:customStyle="1" w:styleId="28">
    <w:name w:val="正文首行缩进 2 Char"/>
    <w:basedOn w:val="27"/>
    <w:link w:val="17"/>
    <w:qFormat/>
    <w:uiPriority w:val="99"/>
    <w:rPr>
      <w:rFonts w:ascii="Calibri" w:hAnsi="Calibri" w:eastAsia="宋体" w:cs="Times New Roman"/>
      <w:szCs w:val="24"/>
    </w:rPr>
  </w:style>
  <w:style w:type="character" w:customStyle="1" w:styleId="29">
    <w:name w:val="批注框文本 Char"/>
    <w:basedOn w:val="20"/>
    <w:link w:val="12"/>
    <w:semiHidden/>
    <w:qFormat/>
    <w:uiPriority w:val="99"/>
    <w:rPr>
      <w:rFonts w:ascii="Calibri" w:hAnsi="Calibri" w:eastAsia="宋体" w:cs="Times New Roman"/>
      <w:sz w:val="18"/>
      <w:szCs w:val="18"/>
    </w:rPr>
  </w:style>
  <w:style w:type="paragraph" w:customStyle="1" w:styleId="30">
    <w:name w:val="Char Char Char Char Char Char1 Char Char Char Char"/>
    <w:basedOn w:val="1"/>
    <w:qFormat/>
    <w:uiPriority w:val="0"/>
    <w:rPr>
      <w:rFonts w:ascii="Times New Roman" w:hAnsi="Times New Roman"/>
    </w:rPr>
  </w:style>
  <w:style w:type="paragraph" w:styleId="31">
    <w:name w:val="List Paragraph"/>
    <w:basedOn w:val="1"/>
    <w:qFormat/>
    <w:uiPriority w:val="34"/>
    <w:pPr>
      <w:ind w:firstLine="420" w:firstLineChars="200"/>
    </w:pPr>
  </w:style>
  <w:style w:type="character" w:customStyle="1" w:styleId="32">
    <w:name w:val="标题 1 Char"/>
    <w:basedOn w:val="20"/>
    <w:link w:val="4"/>
    <w:qFormat/>
    <w:uiPriority w:val="9"/>
    <w:rPr>
      <w:rFonts w:ascii="Calibri" w:hAnsi="Calibri" w:eastAsia="宋体" w:cs="Times New Roman"/>
      <w:b/>
      <w:bCs/>
      <w:kern w:val="44"/>
      <w:sz w:val="44"/>
      <w:szCs w:val="44"/>
    </w:rPr>
  </w:style>
  <w:style w:type="character" w:customStyle="1" w:styleId="33">
    <w:name w:val="页眉 Char"/>
    <w:basedOn w:val="20"/>
    <w:link w:val="3"/>
    <w:qFormat/>
    <w:uiPriority w:val="99"/>
    <w:rPr>
      <w:rFonts w:ascii="Calibri" w:hAnsi="Calibri" w:eastAsia="宋体" w:cs="Times New Roman"/>
      <w:sz w:val="18"/>
      <w:szCs w:val="18"/>
    </w:rPr>
  </w:style>
  <w:style w:type="character" w:customStyle="1" w:styleId="34">
    <w:name w:val="页脚 Char"/>
    <w:basedOn w:val="20"/>
    <w:link w:val="13"/>
    <w:qFormat/>
    <w:uiPriority w:val="99"/>
    <w:rPr>
      <w:rFonts w:ascii="Calibri" w:hAnsi="Calibri" w:eastAsia="宋体" w:cs="Times New Roman"/>
      <w:sz w:val="18"/>
      <w:szCs w:val="18"/>
    </w:rPr>
  </w:style>
  <w:style w:type="paragraph" w:customStyle="1" w:styleId="35">
    <w:name w:val="Char Char Char Char Char Char Char"/>
    <w:basedOn w:val="1"/>
    <w:qFormat/>
    <w:uiPriority w:val="0"/>
    <w:pPr>
      <w:widowControl/>
      <w:spacing w:after="160" w:line="240" w:lineRule="exact"/>
      <w:jc w:val="left"/>
    </w:pPr>
    <w:rPr>
      <w:rFonts w:hint="eastAsia"/>
      <w:szCs w:val="20"/>
    </w:rPr>
  </w:style>
  <w:style w:type="character" w:customStyle="1" w:styleId="36">
    <w:name w:val="批注文字 Char"/>
    <w:basedOn w:val="20"/>
    <w:link w:val="8"/>
    <w:qFormat/>
    <w:uiPriority w:val="99"/>
    <w:rPr>
      <w:rFonts w:ascii="Calibri" w:hAnsi="Calibri" w:eastAsia="宋体" w:cs="Times New Roman"/>
      <w:szCs w:val="24"/>
    </w:rPr>
  </w:style>
  <w:style w:type="character" w:customStyle="1" w:styleId="37">
    <w:name w:val="批注主题 Char"/>
    <w:basedOn w:val="36"/>
    <w:link w:val="16"/>
    <w:semiHidden/>
    <w:qFormat/>
    <w:uiPriority w:val="99"/>
    <w:rPr>
      <w:rFonts w:ascii="Calibri" w:hAnsi="Calibri" w:eastAsia="宋体" w:cs="Times New Roman"/>
      <w:b/>
      <w:bCs/>
      <w:szCs w:val="24"/>
    </w:rPr>
  </w:style>
  <w:style w:type="paragraph" w:customStyle="1" w:styleId="38">
    <w:name w:val="修订1"/>
    <w:hidden/>
    <w:semiHidden/>
    <w:qFormat/>
    <w:uiPriority w:val="99"/>
    <w:rPr>
      <w:rFonts w:ascii="Calibri" w:hAnsi="Calibri" w:eastAsia="宋体" w:cs="Times New Roman"/>
      <w:kern w:val="2"/>
      <w:sz w:val="21"/>
      <w:szCs w:val="24"/>
      <w:lang w:val="en-US" w:eastAsia="zh-CN" w:bidi="ar-SA"/>
    </w:rPr>
  </w:style>
  <w:style w:type="paragraph" w:customStyle="1" w:styleId="39">
    <w:name w:val="正文 New"/>
    <w:qFormat/>
    <w:uiPriority w:val="0"/>
    <w:pPr>
      <w:widowControl w:val="0"/>
      <w:jc w:val="both"/>
    </w:pPr>
    <w:rPr>
      <w:rFonts w:ascii="仿宋_GB2312" w:hAnsi="Calibri" w:eastAsia="仿宋_GB2312" w:cs="Times New Roman"/>
      <w:kern w:val="2"/>
      <w:sz w:val="32"/>
      <w:szCs w:val="32"/>
      <w:lang w:val="en-US" w:eastAsia="zh-CN" w:bidi="ar-SA"/>
    </w:rPr>
  </w:style>
  <w:style w:type="character" w:customStyle="1" w:styleId="40">
    <w:name w:val="正文文本 Char"/>
    <w:basedOn w:val="20"/>
    <w:link w:val="2"/>
    <w:semiHidden/>
    <w:qFormat/>
    <w:uiPriority w:val="99"/>
    <w:rPr>
      <w:rFonts w:ascii="Calibri" w:hAnsi="Calibri" w:eastAsia="宋体" w:cs="Times New Roman"/>
      <w:szCs w:val="24"/>
    </w:rPr>
  </w:style>
  <w:style w:type="character" w:customStyle="1" w:styleId="41">
    <w:name w:val="日期 Char"/>
    <w:basedOn w:val="20"/>
    <w:link w:val="11"/>
    <w:semiHidden/>
    <w:qFormat/>
    <w:uiPriority w:val="99"/>
    <w:rPr>
      <w:rFonts w:ascii="Calibri" w:hAnsi="Calibri" w:eastAsia="宋体" w:cs="Times New Roman"/>
      <w:szCs w:val="24"/>
    </w:rPr>
  </w:style>
  <w:style w:type="paragraph" w:customStyle="1" w:styleId="4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qFormat/>
    <w:uiPriority w:val="99"/>
  </w:style>
  <w:style w:type="paragraph" w:customStyle="1" w:styleId="44">
    <w:name w:val="Char Char Char Char Char Char Char1"/>
    <w:basedOn w:val="1"/>
    <w:qFormat/>
    <w:uiPriority w:val="0"/>
    <w:pPr>
      <w:widowControl/>
      <w:spacing w:after="160" w:line="240" w:lineRule="exact"/>
      <w:jc w:val="left"/>
    </w:pPr>
    <w:rPr>
      <w:rFonts w:ascii="Verdana" w:hAnsi="Verdana"/>
      <w:kern w:val="0"/>
      <w:sz w:val="20"/>
      <w:szCs w:val="32"/>
      <w:lang w:eastAsia="en-US"/>
    </w:rPr>
  </w:style>
  <w:style w:type="paragraph" w:customStyle="1" w:styleId="45">
    <w:name w:val="Default"/>
    <w:qFormat/>
    <w:uiPriority w:val="99"/>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46">
    <w:name w:val="Char"/>
    <w:basedOn w:val="39"/>
    <w:qFormat/>
    <w:uiPriority w:val="0"/>
    <w:pPr>
      <w:spacing w:line="360" w:lineRule="auto"/>
    </w:pPr>
    <w:rPr>
      <w:rFonts w:ascii="Times New Roman" w:hAnsi="Times New Roman" w:eastAsia="宋体"/>
      <w:sz w:val="21"/>
      <w:szCs w:val="24"/>
    </w:rPr>
  </w:style>
  <w:style w:type="character" w:customStyle="1" w:styleId="47">
    <w:name w:val="标题 4 Char"/>
    <w:basedOn w:val="20"/>
    <w:link w:val="7"/>
    <w:semiHidden/>
    <w:qFormat/>
    <w:uiPriority w:val="9"/>
    <w:rPr>
      <w:rFonts w:asciiTheme="majorHAnsi" w:hAnsiTheme="majorHAnsi" w:eastAsiaTheme="majorEastAsia" w:cstheme="majorBidi"/>
      <w:b/>
      <w:bCs/>
      <w:sz w:val="28"/>
      <w:szCs w:val="28"/>
    </w:rPr>
  </w:style>
  <w:style w:type="paragraph" w:customStyle="1" w:styleId="48">
    <w:name w:val="默认段落字体 Para Char Char Char Char Char Char Char Char Char Char"/>
    <w:basedOn w:val="1"/>
    <w:qFormat/>
    <w:uiPriority w:val="0"/>
    <w:rPr>
      <w:szCs w:val="22"/>
    </w:rPr>
  </w:style>
  <w:style w:type="paragraph" w:customStyle="1" w:styleId="49">
    <w:name w:val="Char Char1 Char"/>
    <w:basedOn w:val="39"/>
    <w:qFormat/>
    <w:uiPriority w:val="0"/>
    <w:rPr>
      <w:rFonts w:ascii="Times New Roman" w:hAnsi="Times New Roman" w:eastAsia="宋体"/>
      <w:sz w:val="21"/>
      <w:szCs w:val="24"/>
    </w:rPr>
  </w:style>
  <w:style w:type="paragraph" w:customStyle="1" w:styleId="50">
    <w:name w:val="正文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font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54">
    <w:name w:val="font6"/>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55">
    <w:name w:val="font7"/>
    <w:basedOn w:val="1"/>
    <w:qFormat/>
    <w:uiPriority w:val="0"/>
    <w:pPr>
      <w:widowControl/>
      <w:spacing w:before="100" w:beforeAutospacing="1" w:after="100" w:afterAutospacing="1"/>
      <w:jc w:val="left"/>
    </w:pPr>
    <w:rPr>
      <w:rFonts w:ascii="Times New Roman" w:hAnsi="Times New Roman"/>
      <w:b/>
      <w:bCs/>
      <w:kern w:val="0"/>
      <w:sz w:val="24"/>
    </w:rPr>
  </w:style>
  <w:style w:type="paragraph" w:customStyle="1" w:styleId="56">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7">
    <w:name w:val="font9"/>
    <w:basedOn w:val="1"/>
    <w:qFormat/>
    <w:uiPriority w:val="0"/>
    <w:pPr>
      <w:widowControl/>
      <w:spacing w:before="100" w:beforeAutospacing="1" w:after="100" w:afterAutospacing="1"/>
      <w:jc w:val="left"/>
    </w:pPr>
    <w:rPr>
      <w:rFonts w:ascii="Times New Roman" w:hAnsi="Times New Roman"/>
      <w:kern w:val="0"/>
      <w:sz w:val="24"/>
    </w:rPr>
  </w:style>
  <w:style w:type="paragraph" w:customStyle="1" w:styleId="58">
    <w:name w:val="font10"/>
    <w:basedOn w:val="1"/>
    <w:qFormat/>
    <w:uiPriority w:val="0"/>
    <w:pPr>
      <w:widowControl/>
      <w:spacing w:before="100" w:beforeAutospacing="1" w:after="100" w:afterAutospacing="1"/>
      <w:jc w:val="left"/>
    </w:pPr>
    <w:rPr>
      <w:rFonts w:ascii="Times New Roman" w:hAnsi="Times New Roman"/>
      <w:b/>
      <w:bCs/>
      <w:kern w:val="0"/>
      <w:sz w:val="22"/>
      <w:szCs w:val="22"/>
    </w:rPr>
  </w:style>
  <w:style w:type="paragraph" w:customStyle="1" w:styleId="59">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0">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13"/>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62">
    <w:name w:val="xl197"/>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63">
    <w:name w:val="xl198"/>
    <w:basedOn w:val="1"/>
    <w:qFormat/>
    <w:uiPriority w:val="0"/>
    <w:pPr>
      <w:widowControl/>
      <w:spacing w:before="100" w:beforeAutospacing="1" w:after="100" w:afterAutospacing="1"/>
      <w:jc w:val="center"/>
    </w:pPr>
    <w:rPr>
      <w:rFonts w:ascii="Times New Roman" w:hAnsi="Times New Roman"/>
      <w:kern w:val="0"/>
      <w:sz w:val="20"/>
      <w:szCs w:val="20"/>
    </w:rPr>
  </w:style>
  <w:style w:type="paragraph" w:customStyle="1" w:styleId="64">
    <w:name w:val="xl199"/>
    <w:basedOn w:val="1"/>
    <w:qFormat/>
    <w:uiPriority w:val="0"/>
    <w:pPr>
      <w:widowControl/>
      <w:spacing w:before="100" w:beforeAutospacing="1" w:after="100" w:afterAutospacing="1"/>
      <w:jc w:val="center"/>
    </w:pPr>
    <w:rPr>
      <w:rFonts w:ascii="Times New Roman" w:hAnsi="Times New Roman"/>
      <w:b/>
      <w:bCs/>
      <w:kern w:val="0"/>
      <w:sz w:val="24"/>
    </w:rPr>
  </w:style>
  <w:style w:type="paragraph" w:customStyle="1" w:styleId="65">
    <w:name w:val="xl20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6">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202"/>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68">
    <w:name w:val="xl203"/>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xl20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0">
    <w:name w:val="xl205"/>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xl206"/>
    <w:basedOn w:val="1"/>
    <w:qFormat/>
    <w:uiPriority w:val="0"/>
    <w:pPr>
      <w:widowControl/>
      <w:spacing w:before="100" w:beforeAutospacing="1" w:after="100" w:afterAutospacing="1"/>
      <w:jc w:val="center"/>
    </w:pPr>
    <w:rPr>
      <w:rFonts w:ascii="宋体" w:hAnsi="宋体" w:cs="宋体"/>
      <w:b/>
      <w:bCs/>
      <w:color w:val="FF0000"/>
      <w:kern w:val="0"/>
      <w:sz w:val="22"/>
      <w:szCs w:val="22"/>
    </w:rPr>
  </w:style>
  <w:style w:type="paragraph" w:customStyle="1" w:styleId="72">
    <w:name w:val="xl20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73">
    <w:name w:val="xl20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74">
    <w:name w:val="xl20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5">
    <w:name w:val="xl210"/>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76">
    <w:name w:val="xl211"/>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7">
    <w:name w:val="xl21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8">
    <w:name w:val="xl213"/>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79">
    <w:name w:val="xl214"/>
    <w:basedOn w:val="1"/>
    <w:qFormat/>
    <w:uiPriority w:val="0"/>
    <w:pPr>
      <w:widowControl/>
      <w:spacing w:before="100" w:beforeAutospacing="1" w:after="100" w:afterAutospacing="1"/>
      <w:jc w:val="center"/>
    </w:pPr>
    <w:rPr>
      <w:rFonts w:ascii="Times New Roman" w:hAnsi="Times New Roman"/>
      <w:kern w:val="0"/>
      <w:sz w:val="18"/>
      <w:szCs w:val="18"/>
    </w:rPr>
  </w:style>
  <w:style w:type="paragraph" w:customStyle="1" w:styleId="80">
    <w:name w:val="xl215"/>
    <w:basedOn w:val="1"/>
    <w:qFormat/>
    <w:uiPriority w:val="0"/>
    <w:pPr>
      <w:widowControl/>
      <w:spacing w:before="100" w:beforeAutospacing="1" w:after="100" w:afterAutospacing="1"/>
      <w:jc w:val="center"/>
    </w:pPr>
    <w:rPr>
      <w:rFonts w:ascii="Times New Roman" w:hAnsi="Times New Roman"/>
      <w:kern w:val="0"/>
      <w:sz w:val="18"/>
      <w:szCs w:val="18"/>
    </w:rPr>
  </w:style>
  <w:style w:type="paragraph" w:customStyle="1" w:styleId="81">
    <w:name w:val="xl216"/>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82">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3">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5">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2"/>
      <w:szCs w:val="22"/>
    </w:rPr>
  </w:style>
  <w:style w:type="paragraph" w:customStyle="1" w:styleId="86">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2"/>
      <w:szCs w:val="22"/>
    </w:rPr>
  </w:style>
  <w:style w:type="paragraph" w:customStyle="1" w:styleId="87">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9">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90">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91">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92">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3">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94">
    <w:name w:val="xl2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5">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6">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7">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rPr>
  </w:style>
  <w:style w:type="paragraph" w:customStyle="1" w:styleId="98">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9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rPr>
  </w:style>
  <w:style w:type="paragraph" w:customStyle="1" w:styleId="100">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01">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02">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03">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04">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05">
    <w:name w:val="xl2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0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07">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 w:val="22"/>
      <w:szCs w:val="22"/>
    </w:rPr>
  </w:style>
  <w:style w:type="paragraph" w:customStyle="1" w:styleId="108">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 w:val="24"/>
    </w:rPr>
  </w:style>
  <w:style w:type="paragraph" w:customStyle="1" w:styleId="109">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2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b/>
      <w:bCs/>
      <w:kern w:val="0"/>
      <w:sz w:val="22"/>
      <w:szCs w:val="22"/>
    </w:rPr>
  </w:style>
  <w:style w:type="paragraph" w:customStyle="1" w:styleId="112">
    <w:name w:val="xl2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13">
    <w:name w:val="xl2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4">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15">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6">
    <w:name w:val="xl2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7">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2"/>
      <w:szCs w:val="22"/>
    </w:rPr>
  </w:style>
  <w:style w:type="paragraph" w:customStyle="1" w:styleId="118">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19">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120">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szCs w:val="22"/>
    </w:rPr>
  </w:style>
  <w:style w:type="paragraph" w:customStyle="1" w:styleId="122">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2"/>
      <w:szCs w:val="22"/>
    </w:rPr>
  </w:style>
  <w:style w:type="paragraph" w:customStyle="1" w:styleId="123">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szCs w:val="22"/>
    </w:rPr>
  </w:style>
  <w:style w:type="paragraph" w:customStyle="1" w:styleId="124">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5">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rPr>
  </w:style>
  <w:style w:type="paragraph" w:customStyle="1" w:styleId="126">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color w:val="FF0000"/>
      <w:kern w:val="0"/>
      <w:sz w:val="22"/>
      <w:szCs w:val="22"/>
    </w:rPr>
  </w:style>
  <w:style w:type="paragraph" w:customStyle="1" w:styleId="127">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FF0000"/>
      <w:kern w:val="0"/>
      <w:sz w:val="22"/>
      <w:szCs w:val="22"/>
    </w:rPr>
  </w:style>
  <w:style w:type="paragraph" w:customStyle="1" w:styleId="128">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29">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0">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1">
    <w:name w:val="xl26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3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2"/>
      <w:szCs w:val="22"/>
    </w:rPr>
  </w:style>
  <w:style w:type="paragraph" w:customStyle="1" w:styleId="134">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2"/>
      <w:szCs w:val="22"/>
    </w:rPr>
  </w:style>
  <w:style w:type="paragraph" w:customStyle="1" w:styleId="135">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FF0000"/>
      <w:kern w:val="0"/>
      <w:sz w:val="22"/>
      <w:szCs w:val="22"/>
    </w:rPr>
  </w:style>
  <w:style w:type="paragraph" w:customStyle="1" w:styleId="136">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7">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38">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9">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2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2"/>
      <w:szCs w:val="22"/>
    </w:rPr>
  </w:style>
  <w:style w:type="paragraph" w:customStyle="1" w:styleId="141">
    <w:name w:val="xl2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2">
    <w:name w:val="xl2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43">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4">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45">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46">
    <w:name w:val="xl2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7">
    <w:name w:val="xl2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8">
    <w:name w:val="xl2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9">
    <w:name w:val="xl2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0">
    <w:name w:val="xl2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151">
    <w:name w:val="xl2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152">
    <w:name w:val="xl2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000000"/>
      <w:kern w:val="0"/>
      <w:sz w:val="22"/>
      <w:szCs w:val="22"/>
    </w:rPr>
  </w:style>
  <w:style w:type="paragraph" w:customStyle="1" w:styleId="153">
    <w:name w:val="xl2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000000"/>
      <w:kern w:val="0"/>
      <w:sz w:val="22"/>
      <w:szCs w:val="22"/>
    </w:rPr>
  </w:style>
  <w:style w:type="paragraph" w:customStyle="1" w:styleId="154">
    <w:name w:val="xl2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55">
    <w:name w:val="xl2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56">
    <w:name w:val="xl2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57">
    <w:name w:val="xl2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8">
    <w:name w:val="xl2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159">
    <w:name w:val="xl2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160">
    <w:name w:val="xl2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161">
    <w:name w:val="xl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szCs w:val="22"/>
    </w:rPr>
  </w:style>
  <w:style w:type="paragraph" w:customStyle="1" w:styleId="162">
    <w:name w:val="xl2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kern w:val="0"/>
      <w:sz w:val="22"/>
      <w:szCs w:val="22"/>
    </w:rPr>
  </w:style>
  <w:style w:type="paragraph" w:customStyle="1" w:styleId="163">
    <w:name w:val="xl2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kern w:val="0"/>
      <w:sz w:val="22"/>
      <w:szCs w:val="22"/>
    </w:rPr>
  </w:style>
  <w:style w:type="paragraph" w:customStyle="1" w:styleId="164">
    <w:name w:val="xl2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65">
    <w:name w:val="xl3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b/>
      <w:bCs/>
      <w:kern w:val="0"/>
      <w:sz w:val="22"/>
      <w:szCs w:val="22"/>
    </w:rPr>
  </w:style>
  <w:style w:type="paragraph" w:customStyle="1" w:styleId="166">
    <w:name w:val="xl3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b/>
      <w:bCs/>
      <w:kern w:val="0"/>
      <w:sz w:val="22"/>
      <w:szCs w:val="22"/>
    </w:rPr>
  </w:style>
  <w:style w:type="paragraph" w:customStyle="1" w:styleId="167">
    <w:name w:val="xl3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68">
    <w:name w:val="xl303"/>
    <w:basedOn w:val="1"/>
    <w:qFormat/>
    <w:uiPriority w:val="0"/>
    <w:pPr>
      <w:widowControl/>
      <w:spacing w:before="100" w:beforeAutospacing="1" w:after="100" w:afterAutospacing="1"/>
    </w:pPr>
    <w:rPr>
      <w:rFonts w:ascii="宋体" w:hAnsi="宋体" w:cs="宋体"/>
      <w:color w:val="000000"/>
      <w:kern w:val="0"/>
      <w:sz w:val="24"/>
    </w:rPr>
  </w:style>
  <w:style w:type="paragraph" w:customStyle="1" w:styleId="169">
    <w:name w:val="xl30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170">
    <w:name w:val="xl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171">
    <w:name w:val="6 Char"/>
    <w:basedOn w:val="1"/>
    <w:qFormat/>
    <w:uiPriority w:val="0"/>
    <w:pPr>
      <w:widowControl/>
      <w:spacing w:beforeLines="100" w:after="160" w:line="240" w:lineRule="exact"/>
      <w:jc w:val="left"/>
    </w:pPr>
    <w:rPr>
      <w:rFonts w:hint="eastAsia" w:ascii="Times New Roman" w:hAnsi="Times New Roman"/>
      <w:szCs w:val="20"/>
    </w:rPr>
  </w:style>
  <w:style w:type="paragraph" w:customStyle="1" w:styleId="172">
    <w:name w:val="修订2"/>
    <w:hidden/>
    <w:semiHidden/>
    <w:qFormat/>
    <w:uiPriority w:val="99"/>
    <w:rPr>
      <w:rFonts w:ascii="Calibri" w:hAnsi="Calibri" w:eastAsia="宋体" w:cs="Times New Roman"/>
      <w:kern w:val="2"/>
      <w:sz w:val="21"/>
      <w:szCs w:val="24"/>
      <w:lang w:val="en-US" w:eastAsia="zh-CN" w:bidi="ar-SA"/>
    </w:rPr>
  </w:style>
  <w:style w:type="paragraph" w:customStyle="1" w:styleId="173">
    <w:name w:val="正文文本首行缩进 21"/>
    <w:basedOn w:val="174"/>
    <w:qFormat/>
    <w:uiPriority w:val="0"/>
    <w:pPr>
      <w:ind w:firstLine="420" w:firstLineChars="200"/>
    </w:pPr>
  </w:style>
  <w:style w:type="paragraph" w:customStyle="1" w:styleId="174">
    <w:name w:val="正文文本缩进1"/>
    <w:basedOn w:val="1"/>
    <w:qFormat/>
    <w:uiPriority w:val="0"/>
    <w:pPr>
      <w:spacing w:after="120"/>
      <w:ind w:left="420" w:leftChars="200"/>
    </w:pPr>
  </w:style>
  <w:style w:type="paragraph" w:customStyle="1" w:styleId="175">
    <w:name w:val="Body Text First Indent 2 New New"/>
    <w:basedOn w:val="176"/>
    <w:qFormat/>
    <w:uiPriority w:val="0"/>
    <w:pPr>
      <w:ind w:firstLine="420" w:firstLineChars="200"/>
    </w:pPr>
    <w:rPr>
      <w:sz w:val="24"/>
    </w:rPr>
  </w:style>
  <w:style w:type="paragraph" w:customStyle="1" w:styleId="176">
    <w:name w:val="Body Text Indent New New"/>
    <w:basedOn w:val="177"/>
    <w:qFormat/>
    <w:uiPriority w:val="0"/>
    <w:pPr>
      <w:spacing w:after="120"/>
      <w:ind w:left="420" w:leftChars="200"/>
    </w:pPr>
  </w:style>
  <w:style w:type="paragraph" w:customStyle="1" w:styleId="177">
    <w:name w:val="Normal New New New New"/>
    <w:next w:val="175"/>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78">
    <w:name w:val="font21"/>
    <w:basedOn w:val="20"/>
    <w:qFormat/>
    <w:uiPriority w:val="0"/>
    <w:rPr>
      <w:rFonts w:hint="eastAsia" w:ascii="仿宋_GB2312" w:eastAsia="仿宋_GB2312" w:cs="仿宋_GB2312"/>
      <w:color w:val="000000"/>
      <w:sz w:val="24"/>
      <w:szCs w:val="24"/>
      <w:u w:val="none"/>
    </w:rPr>
  </w:style>
  <w:style w:type="character" w:customStyle="1" w:styleId="179">
    <w:name w:val="font51"/>
    <w:basedOn w:val="20"/>
    <w:qFormat/>
    <w:uiPriority w:val="0"/>
    <w:rPr>
      <w:rFonts w:hint="eastAsia" w:ascii="仿宋_GB2312" w:eastAsia="仿宋_GB2312" w:cs="仿宋_GB2312"/>
      <w:color w:val="000000"/>
      <w:sz w:val="24"/>
      <w:szCs w:val="24"/>
      <w:u w:val="none"/>
    </w:rPr>
  </w:style>
  <w:style w:type="character" w:customStyle="1" w:styleId="180">
    <w:name w:val="font61"/>
    <w:basedOn w:val="20"/>
    <w:qFormat/>
    <w:uiPriority w:val="0"/>
    <w:rPr>
      <w:rFonts w:hint="eastAsia" w:ascii="仿宋_GB2312" w:eastAsia="仿宋_GB2312" w:cs="仿宋_GB2312"/>
      <w:color w:val="000000"/>
      <w:sz w:val="24"/>
      <w:szCs w:val="24"/>
      <w:u w:val="none"/>
    </w:rPr>
  </w:style>
  <w:style w:type="paragraph" w:customStyle="1" w:styleId="181">
    <w:name w:val="Char Char1 Char1"/>
    <w:basedOn w:val="1"/>
    <w:qFormat/>
    <w:uiPriority w:val="0"/>
    <w:rPr>
      <w:rFonts w:ascii="Times New Roman" w:hAnsi="Times New Roman"/>
    </w:rPr>
  </w:style>
  <w:style w:type="paragraph" w:customStyle="1" w:styleId="182">
    <w:name w:val="Char Char1 Char2"/>
    <w:basedOn w:val="1"/>
    <w:qFormat/>
    <w:uiPriority w:val="0"/>
    <w:rPr>
      <w:rFonts w:ascii="Times New Roman" w:hAnsi="Times New Roman"/>
    </w:rPr>
  </w:style>
  <w:style w:type="paragraph" w:customStyle="1" w:styleId="18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126</Pages>
  <Words>10912</Words>
  <Characters>62202</Characters>
  <Lines>518</Lines>
  <Paragraphs>145</Paragraphs>
  <TotalTime>28</TotalTime>
  <ScaleCrop>false</ScaleCrop>
  <LinksUpToDate>false</LinksUpToDate>
  <CharactersWithSpaces>72969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2024-11-24T15:45:00Z</dcterms:created>
  <dc:creator>GDQD287</dc:creator>
  <cp:lastModifiedBy>user</cp:lastModifiedBy>
  <cp:lastPrinted>2021-04-25T00:53:00Z</cp:lastPrinted>
  <dcterms:modified xsi:type="dcterms:W3CDTF">2025-12-31T10:42:12Z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9DD52E472A4E4FBEBB92DD08964D50BF</vt:lpwstr>
  </property>
</Properties>
</file>