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18A37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rStyle w:val="5"/>
          <w:rFonts w:hint="eastAsia" w:ascii="宋体" w:hAnsi="宋体" w:eastAsia="宋体" w:cs="宋体"/>
          <w:i w:val="0"/>
          <w:iCs w:val="0"/>
          <w:caps w:val="0"/>
          <w:color w:val="424242"/>
          <w:spacing w:val="0"/>
          <w:sz w:val="44"/>
          <w:szCs w:val="44"/>
          <w:shd w:val="clear" w:fill="FFFFFF"/>
        </w:rPr>
      </w:pPr>
      <w:r>
        <w:rPr>
          <w:rStyle w:val="5"/>
          <w:rFonts w:hint="eastAsia" w:ascii="宋体" w:hAnsi="宋体" w:eastAsia="宋体" w:cs="宋体"/>
          <w:i w:val="0"/>
          <w:iCs w:val="0"/>
          <w:caps w:val="0"/>
          <w:color w:val="424242"/>
          <w:spacing w:val="0"/>
          <w:sz w:val="44"/>
          <w:szCs w:val="44"/>
          <w:shd w:val="clear" w:fill="FFFFFF"/>
        </w:rPr>
        <w:t>附：参与云浮市</w:t>
      </w:r>
      <w:r>
        <w:rPr>
          <w:rStyle w:val="5"/>
          <w:rFonts w:hint="eastAsia" w:ascii="宋体" w:hAnsi="宋体" w:eastAsia="宋体" w:cs="宋体"/>
          <w:i w:val="0"/>
          <w:iCs w:val="0"/>
          <w:caps w:val="0"/>
          <w:color w:val="424242"/>
          <w:spacing w:val="0"/>
          <w:sz w:val="44"/>
          <w:szCs w:val="44"/>
          <w:shd w:val="clear" w:fill="FFFFFF"/>
          <w:lang w:val="en-US" w:eastAsia="zh-CN"/>
        </w:rPr>
        <w:t>邓发</w:t>
      </w:r>
      <w:r>
        <w:rPr>
          <w:rStyle w:val="5"/>
          <w:rFonts w:hint="eastAsia" w:ascii="宋体" w:hAnsi="宋体" w:eastAsia="宋体" w:cs="宋体"/>
          <w:i w:val="0"/>
          <w:iCs w:val="0"/>
          <w:caps w:val="0"/>
          <w:color w:val="424242"/>
          <w:spacing w:val="0"/>
          <w:sz w:val="44"/>
          <w:szCs w:val="44"/>
          <w:shd w:val="clear" w:fill="FFFFFF"/>
        </w:rPr>
        <w:t>小学2026年研学实践教育活动遴选服务机构（基地）情况表</w:t>
      </w:r>
      <w:bookmarkStart w:id="0" w:name="_GoBack"/>
      <w:bookmarkEnd w:id="0"/>
    </w:p>
    <w:tbl>
      <w:tblPr>
        <w:tblStyle w:val="3"/>
        <w:tblpPr w:leftFromText="180" w:rightFromText="180" w:vertAnchor="text" w:horzAnchor="page" w:tblpX="1926" w:tblpY="209"/>
        <w:tblOverlap w:val="never"/>
        <w:tblW w:w="8522" w:type="dxa"/>
        <w:tblInd w:w="0"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654"/>
        <w:gridCol w:w="3241"/>
        <w:gridCol w:w="4627"/>
      </w:tblGrid>
      <w:tr w14:paraId="041187ED">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auto"/>
          <w:tblCellMar>
            <w:top w:w="0" w:type="dxa"/>
            <w:left w:w="0" w:type="dxa"/>
            <w:bottom w:w="0" w:type="dxa"/>
            <w:right w:w="0" w:type="dxa"/>
          </w:tblCellMar>
        </w:tblPrEx>
        <w:trPr>
          <w:trHeight w:val="622" w:hRule="atLeast"/>
          <w:tblHeader/>
        </w:trPr>
        <w:tc>
          <w:tcPr>
            <w:tcW w:w="654" w:type="dxa"/>
            <w:tcBorders>
              <w:top w:val="single" w:color="000000" w:sz="6" w:space="0"/>
              <w:left w:val="single" w:color="000000" w:sz="6" w:space="0"/>
              <w:bottom w:val="single" w:color="000000" w:sz="6" w:space="0"/>
              <w:right w:val="single" w:color="000000" w:sz="6" w:space="0"/>
            </w:tcBorders>
            <w:shd w:val="clear" w:color="auto" w:fill="auto"/>
            <w:tcMar>
              <w:top w:w="75" w:type="dxa"/>
              <w:left w:w="105" w:type="dxa"/>
              <w:bottom w:w="75" w:type="dxa"/>
              <w:right w:w="105" w:type="dxa"/>
            </w:tcMar>
            <w:vAlign w:val="center"/>
          </w:tcPr>
          <w:p w14:paraId="0A1D3F33">
            <w:pPr>
              <w:pStyle w:val="2"/>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line="240" w:lineRule="auto"/>
              <w:ind w:left="0" w:leftChars="0" w:right="0" w:rightChars="0" w:firstLine="0" w:firstLineChars="0"/>
              <w:jc w:val="center"/>
              <w:rPr>
                <w:b/>
                <w:color w:val="424242"/>
              </w:rPr>
            </w:pPr>
            <w:r>
              <w:rPr>
                <w:rStyle w:val="5"/>
                <w:b/>
                <w:color w:val="424242"/>
              </w:rPr>
              <w:t>序号</w:t>
            </w:r>
          </w:p>
        </w:tc>
        <w:tc>
          <w:tcPr>
            <w:tcW w:w="3241" w:type="dxa"/>
            <w:tcBorders>
              <w:top w:val="single" w:color="000000" w:sz="6" w:space="0"/>
              <w:left w:val="single" w:color="000000" w:sz="6" w:space="0"/>
              <w:bottom w:val="single" w:color="000000" w:sz="6" w:space="0"/>
              <w:right w:val="single" w:color="000000" w:sz="6" w:space="0"/>
            </w:tcBorders>
            <w:shd w:val="clear" w:color="auto" w:fill="auto"/>
            <w:tcMar>
              <w:top w:w="75" w:type="dxa"/>
              <w:left w:w="105" w:type="dxa"/>
              <w:bottom w:w="75" w:type="dxa"/>
              <w:right w:w="105" w:type="dxa"/>
            </w:tcMar>
            <w:vAlign w:val="center"/>
          </w:tcPr>
          <w:p w14:paraId="6FFF736B">
            <w:pPr>
              <w:pStyle w:val="2"/>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line="240" w:lineRule="auto"/>
              <w:ind w:left="0" w:leftChars="0" w:right="0" w:rightChars="0" w:firstLine="0" w:firstLineChars="0"/>
              <w:jc w:val="center"/>
              <w:rPr>
                <w:b/>
                <w:color w:val="424242"/>
              </w:rPr>
            </w:pPr>
            <w:r>
              <w:rPr>
                <w:rStyle w:val="5"/>
                <w:b/>
                <w:color w:val="424242"/>
              </w:rPr>
              <w:t>机构名称</w:t>
            </w:r>
          </w:p>
        </w:tc>
        <w:tc>
          <w:tcPr>
            <w:tcW w:w="4627" w:type="dxa"/>
            <w:tcBorders>
              <w:top w:val="single" w:color="000000" w:sz="6" w:space="0"/>
              <w:left w:val="single" w:color="000000" w:sz="6" w:space="0"/>
              <w:bottom w:val="single" w:color="000000" w:sz="6" w:space="0"/>
              <w:right w:val="single" w:color="000000" w:sz="6" w:space="0"/>
            </w:tcBorders>
            <w:shd w:val="clear" w:color="auto" w:fill="auto"/>
            <w:tcMar>
              <w:top w:w="75" w:type="dxa"/>
              <w:left w:w="105" w:type="dxa"/>
              <w:bottom w:w="75" w:type="dxa"/>
              <w:right w:w="105" w:type="dxa"/>
            </w:tcMar>
            <w:vAlign w:val="center"/>
          </w:tcPr>
          <w:p w14:paraId="0D350055">
            <w:pPr>
              <w:pStyle w:val="2"/>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line="240" w:lineRule="auto"/>
              <w:ind w:left="0" w:leftChars="0" w:right="0" w:rightChars="0" w:firstLine="0" w:firstLineChars="0"/>
              <w:jc w:val="center"/>
              <w:rPr>
                <w:b/>
                <w:color w:val="424242"/>
              </w:rPr>
            </w:pPr>
            <w:r>
              <w:rPr>
                <w:rStyle w:val="5"/>
                <w:b/>
                <w:color w:val="424242"/>
              </w:rPr>
              <w:t>机构基本情况</w:t>
            </w:r>
          </w:p>
        </w:tc>
      </w:tr>
      <w:tr w14:paraId="33865477">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auto"/>
          <w:tblCellMar>
            <w:top w:w="0" w:type="dxa"/>
            <w:left w:w="0" w:type="dxa"/>
            <w:bottom w:w="0" w:type="dxa"/>
            <w:right w:w="0" w:type="dxa"/>
          </w:tblCellMar>
        </w:tblPrEx>
        <w:trPr>
          <w:trHeight w:val="8450" w:hRule="atLeast"/>
        </w:trPr>
        <w:tc>
          <w:tcPr>
            <w:tcW w:w="654" w:type="dxa"/>
            <w:tcBorders>
              <w:top w:val="single" w:color="000000" w:sz="6" w:space="0"/>
              <w:left w:val="single" w:color="000000" w:sz="6" w:space="0"/>
              <w:bottom w:val="single" w:color="000000" w:sz="6" w:space="0"/>
              <w:right w:val="single" w:color="000000" w:sz="6" w:space="0"/>
            </w:tcBorders>
            <w:shd w:val="clear" w:color="auto" w:fill="auto"/>
            <w:tcMar>
              <w:top w:w="75" w:type="dxa"/>
              <w:left w:w="105" w:type="dxa"/>
              <w:bottom w:w="75" w:type="dxa"/>
              <w:right w:w="105" w:type="dxa"/>
            </w:tcMar>
            <w:vAlign w:val="center"/>
          </w:tcPr>
          <w:p w14:paraId="1918129E">
            <w:pPr>
              <w:pStyle w:val="2"/>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line="240" w:lineRule="auto"/>
              <w:ind w:left="0" w:leftChars="0" w:right="0" w:rightChars="0" w:firstLine="0" w:firstLineChars="0"/>
              <w:jc w:val="center"/>
              <w:rPr>
                <w:rFonts w:hint="eastAsia" w:ascii="Calibri" w:eastAsia="宋体"/>
                <w:color w:val="000000" w:themeColor="text1"/>
                <w:sz w:val="24"/>
                <w:lang w:val="en-US" w:eastAsia="zh-CN"/>
                <w14:textFill>
                  <w14:solidFill>
                    <w14:schemeClr w14:val="tx1"/>
                  </w14:solidFill>
                </w14:textFill>
              </w:rPr>
            </w:pPr>
            <w:r>
              <w:rPr>
                <w:rFonts w:hint="eastAsia" w:ascii="Calibri" w:eastAsia="宋体"/>
                <w:color w:val="000000" w:themeColor="text1"/>
                <w:sz w:val="24"/>
                <w:lang w:val="en-US" w:eastAsia="zh-CN"/>
                <w14:textFill>
                  <w14:solidFill>
                    <w14:schemeClr w14:val="tx1"/>
                  </w14:solidFill>
                </w14:textFill>
              </w:rPr>
              <w:t>1</w:t>
            </w:r>
          </w:p>
        </w:tc>
        <w:tc>
          <w:tcPr>
            <w:tcW w:w="3241" w:type="dxa"/>
            <w:tcBorders>
              <w:top w:val="single" w:color="000000" w:sz="6" w:space="0"/>
              <w:left w:val="single" w:color="000000" w:sz="6" w:space="0"/>
              <w:bottom w:val="single" w:color="000000" w:sz="6" w:space="0"/>
              <w:right w:val="single" w:color="000000" w:sz="6" w:space="0"/>
            </w:tcBorders>
            <w:shd w:val="clear" w:color="auto" w:fill="auto"/>
            <w:tcMar>
              <w:top w:w="75" w:type="dxa"/>
              <w:left w:w="105" w:type="dxa"/>
              <w:bottom w:w="75" w:type="dxa"/>
              <w:right w:w="105" w:type="dxa"/>
            </w:tcMar>
            <w:vAlign w:val="center"/>
          </w:tcPr>
          <w:p w14:paraId="436D4D46">
            <w:pPr>
              <w:pStyle w:val="2"/>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line="240" w:lineRule="auto"/>
              <w:ind w:left="0" w:leftChars="0" w:right="0" w:rightChars="0" w:firstLine="0" w:firstLineChars="0"/>
              <w:jc w:val="left"/>
              <w:rPr>
                <w:rFonts w:hint="default" w:ascii="Calibri" w:eastAsia="宋体"/>
                <w:color w:val="000000" w:themeColor="text1"/>
                <w:sz w:val="24"/>
                <w:lang w:val="en-US" w:eastAsia="zh-CN"/>
                <w14:textFill>
                  <w14:solidFill>
                    <w14:schemeClr w14:val="tx1"/>
                  </w14:solidFill>
                </w14:textFill>
              </w:rPr>
            </w:pPr>
            <w:r>
              <w:rPr>
                <w:rFonts w:ascii="Calibri" w:eastAsia="宋体"/>
                <w:color w:val="000000" w:themeColor="text1"/>
                <w:sz w:val="24"/>
                <w14:textFill>
                  <w14:solidFill>
                    <w14:schemeClr w14:val="tx1"/>
                  </w14:solidFill>
                </w14:textFill>
              </w:rPr>
              <w:t>云浮市卓越研学商务服务有限公司</w:t>
            </w:r>
          </w:p>
        </w:tc>
        <w:tc>
          <w:tcPr>
            <w:tcW w:w="4627" w:type="dxa"/>
            <w:tcBorders>
              <w:top w:val="single" w:color="000000" w:sz="6" w:space="0"/>
              <w:left w:val="single" w:color="000000" w:sz="6" w:space="0"/>
              <w:bottom w:val="single" w:color="000000" w:sz="6" w:space="0"/>
              <w:right w:val="single" w:color="000000" w:sz="6" w:space="0"/>
            </w:tcBorders>
            <w:shd w:val="clear" w:color="auto" w:fill="auto"/>
            <w:tcMar>
              <w:top w:w="75" w:type="dxa"/>
              <w:left w:w="105" w:type="dxa"/>
              <w:bottom w:w="75" w:type="dxa"/>
              <w:right w:w="105" w:type="dxa"/>
            </w:tcMar>
            <w:vAlign w:val="center"/>
          </w:tcPr>
          <w:p w14:paraId="59A01783">
            <w:pPr>
              <w:pStyle w:val="2"/>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line="240" w:lineRule="auto"/>
              <w:ind w:left="0" w:leftChars="0" w:right="0" w:rightChars="0" w:firstLine="0" w:firstLineChars="0"/>
              <w:jc w:val="left"/>
              <w:rPr>
                <w:rFonts w:ascii="Calibri" w:eastAsia="宋体"/>
                <w:color w:val="000000" w:themeColor="text1"/>
                <w:sz w:val="24"/>
                <w14:textFill>
                  <w14:solidFill>
                    <w14:schemeClr w14:val="tx1"/>
                  </w14:solidFill>
                </w14:textFill>
              </w:rPr>
            </w:pPr>
            <w:r>
              <w:rPr>
                <w:rFonts w:ascii="Calibri" w:eastAsia="宋体"/>
                <w:b/>
                <w:bCs/>
                <w:color w:val="000000" w:themeColor="text1"/>
                <w:sz w:val="24"/>
                <w14:textFill>
                  <w14:solidFill>
                    <w14:schemeClr w14:val="tx1"/>
                  </w14:solidFill>
                </w14:textFill>
              </w:rPr>
              <w:t>资质</w:t>
            </w:r>
            <w:r>
              <w:rPr>
                <w:rFonts w:ascii="Calibri" w:eastAsia="宋体"/>
                <w:color w:val="000000" w:themeColor="text1"/>
                <w:sz w:val="24"/>
                <w14:textFill>
                  <w14:solidFill>
                    <w14:schemeClr w14:val="tx1"/>
                  </w14:solidFill>
                </w14:textFill>
              </w:rPr>
              <w:t xml:space="preserve">：1、2020年成立，350万注册资金；2、持有旅游经营许可证并购买旅行社责任险，3、营业至今无责任事故、无失信纪录 </w:t>
            </w:r>
          </w:p>
          <w:p w14:paraId="162CC1D2">
            <w:pPr>
              <w:pStyle w:val="2"/>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line="240" w:lineRule="auto"/>
              <w:ind w:left="0" w:leftChars="0" w:right="0" w:rightChars="0" w:firstLine="0" w:firstLineChars="0"/>
              <w:jc w:val="left"/>
              <w:rPr>
                <w:rFonts w:ascii="Calibri" w:eastAsia="宋体"/>
                <w:color w:val="000000" w:themeColor="text1"/>
                <w:sz w:val="24"/>
                <w14:textFill>
                  <w14:solidFill>
                    <w14:schemeClr w14:val="tx1"/>
                  </w14:solidFill>
                </w14:textFill>
              </w:rPr>
            </w:pPr>
            <w:r>
              <w:rPr>
                <w:rFonts w:ascii="Calibri" w:eastAsia="宋体"/>
                <w:b/>
                <w:bCs/>
                <w:color w:val="000000" w:themeColor="text1"/>
                <w:sz w:val="24"/>
                <w14:textFill>
                  <w14:solidFill>
                    <w14:schemeClr w14:val="tx1"/>
                  </w14:solidFill>
                </w14:textFill>
              </w:rPr>
              <w:t>服务能力：</w:t>
            </w:r>
            <w:r>
              <w:rPr>
                <w:rFonts w:ascii="Calibri" w:eastAsia="宋体"/>
                <w:color w:val="000000" w:themeColor="text1"/>
                <w:sz w:val="24"/>
                <w14:textFill>
                  <w14:solidFill>
                    <w14:schemeClr w14:val="tx1"/>
                  </w14:solidFill>
                </w14:textFill>
              </w:rPr>
              <w:t xml:space="preserve">1、公司有持研学导师证人员30名；2、拥有云浮本土二大研学基地腰古仁善城头研学基地及郁南红溪谷省级研学基地。3、单次操作超千人大团多次，4、研学板块覆盖红色革命传统、优秀文化传统、国情教育、自然生态、劳动实践。 </w:t>
            </w:r>
          </w:p>
          <w:p w14:paraId="505B4BF8">
            <w:pPr>
              <w:pStyle w:val="2"/>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line="240" w:lineRule="auto"/>
              <w:ind w:left="0" w:leftChars="0" w:right="0" w:rightChars="0" w:firstLine="0" w:firstLineChars="0"/>
              <w:jc w:val="left"/>
              <w:rPr>
                <w:rFonts w:ascii="Calibri" w:eastAsia="宋体"/>
                <w:color w:val="000000" w:themeColor="text1"/>
                <w:sz w:val="24"/>
                <w14:textFill>
                  <w14:solidFill>
                    <w14:schemeClr w14:val="tx1"/>
                  </w14:solidFill>
                </w14:textFill>
              </w:rPr>
            </w:pPr>
          </w:p>
          <w:p w14:paraId="4437E29F">
            <w:pPr>
              <w:pStyle w:val="2"/>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line="240" w:lineRule="auto"/>
              <w:ind w:left="0" w:leftChars="0" w:right="0" w:rightChars="0" w:firstLine="0" w:firstLineChars="0"/>
              <w:jc w:val="left"/>
              <w:rPr>
                <w:rFonts w:ascii="Calibri" w:eastAsia="宋体"/>
                <w:color w:val="000000" w:themeColor="text1"/>
                <w:sz w:val="24"/>
                <w14:textFill>
                  <w14:solidFill>
                    <w14:schemeClr w14:val="tx1"/>
                  </w14:solidFill>
                </w14:textFill>
              </w:rPr>
            </w:pPr>
            <w:r>
              <w:rPr>
                <w:rFonts w:ascii="Calibri" w:eastAsia="宋体"/>
                <w:b/>
                <w:bCs/>
                <w:color w:val="000000" w:themeColor="text1"/>
                <w:sz w:val="24"/>
                <w14:textFill>
                  <w14:solidFill>
                    <w14:schemeClr w14:val="tx1"/>
                  </w14:solidFill>
                </w14:textFill>
              </w:rPr>
              <w:t>经营记录：</w:t>
            </w:r>
            <w:r>
              <w:rPr>
                <w:rFonts w:ascii="Calibri" w:eastAsia="宋体"/>
                <w:color w:val="000000" w:themeColor="text1"/>
                <w:sz w:val="24"/>
                <w14:textFill>
                  <w14:solidFill>
                    <w14:schemeClr w14:val="tx1"/>
                  </w14:solidFill>
                </w14:textFill>
              </w:rPr>
              <w:t xml:space="preserve"> 1、公司成立后运营古仁善田园研学基地到现在，承接各教育机构研学、单位团建拓展会议等业务； 2、2025年到现在已经操作近云中、邓中、石城中学、石城中心小学、实验小学等学校多批次大规模研学团队超3000人次，并获得家长学校一致好评。</w:t>
            </w:r>
          </w:p>
          <w:p w14:paraId="62023524">
            <w:pPr>
              <w:pStyle w:val="2"/>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line="240" w:lineRule="auto"/>
              <w:ind w:left="0" w:leftChars="0" w:right="0" w:rightChars="0" w:firstLine="0" w:firstLineChars="0"/>
              <w:jc w:val="left"/>
              <w:rPr>
                <w:rFonts w:ascii="Calibri" w:eastAsia="宋体"/>
                <w:color w:val="000000" w:themeColor="text1"/>
                <w:sz w:val="24"/>
                <w14:textFill>
                  <w14:solidFill>
                    <w14:schemeClr w14:val="tx1"/>
                  </w14:solidFill>
                </w14:textFill>
              </w:rPr>
            </w:pPr>
          </w:p>
          <w:p w14:paraId="2696929E">
            <w:pPr>
              <w:pStyle w:val="2"/>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line="240" w:lineRule="auto"/>
              <w:ind w:left="0" w:leftChars="0" w:right="0" w:rightChars="0" w:firstLine="0" w:firstLineChars="0"/>
              <w:jc w:val="left"/>
              <w:rPr>
                <w:rFonts w:ascii="Calibri" w:eastAsia="宋体"/>
                <w:color w:val="000000" w:themeColor="text1"/>
                <w:sz w:val="24"/>
                <w14:textFill>
                  <w14:solidFill>
                    <w14:schemeClr w14:val="tx1"/>
                  </w14:solidFill>
                </w14:textFill>
              </w:rPr>
            </w:pPr>
            <w:r>
              <w:rPr>
                <w:rFonts w:ascii="Calibri" w:eastAsia="宋体"/>
                <w:b/>
                <w:bCs/>
                <w:color w:val="000000" w:themeColor="text1"/>
                <w:sz w:val="24"/>
                <w14:textFill>
                  <w14:solidFill>
                    <w14:schemeClr w14:val="tx1"/>
                  </w14:solidFill>
                </w14:textFill>
              </w:rPr>
              <w:t xml:space="preserve"> 本土研学课程：</w:t>
            </w:r>
            <w:r>
              <w:rPr>
                <w:rFonts w:ascii="Calibri" w:eastAsia="宋体"/>
                <w:color w:val="000000" w:themeColor="text1"/>
                <w:sz w:val="24"/>
                <w14:textFill>
                  <w14:solidFill>
                    <w14:schemeClr w14:val="tx1"/>
                  </w14:solidFill>
                </w14:textFill>
              </w:rPr>
              <w:t xml:space="preserve"> 1、仁善的种子——腰古仁善城头云浮县委旧址+农耕一天； 2、岭南理学第一村——腰古仁善城头云浮县委旧址+水东村一天 3、走三行走出的将军——罗定蔡廷锴将军故居、长岗坡研学一天； 4、西江小延安——都杨荣昌堂、湾边村、陈璘故事研学一天。 5、郁南红溪谷、兰寨耕读文化、磨刀山一天 五、收费标准：138元/人（一价全包）</w:t>
            </w:r>
          </w:p>
        </w:tc>
      </w:tr>
      <w:tr w14:paraId="4241237C">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auto"/>
          <w:tblCellMar>
            <w:top w:w="0" w:type="dxa"/>
            <w:left w:w="0" w:type="dxa"/>
            <w:bottom w:w="0" w:type="dxa"/>
            <w:right w:w="0" w:type="dxa"/>
          </w:tblCellMar>
        </w:tblPrEx>
        <w:trPr>
          <w:trHeight w:val="3907" w:hRule="atLeast"/>
        </w:trPr>
        <w:tc>
          <w:tcPr>
            <w:tcW w:w="654" w:type="dxa"/>
            <w:tcBorders>
              <w:top w:val="single" w:color="000000" w:sz="6" w:space="0"/>
              <w:left w:val="single" w:color="000000" w:sz="6" w:space="0"/>
              <w:bottom w:val="single" w:color="000000" w:sz="6" w:space="0"/>
              <w:right w:val="single" w:color="000000" w:sz="6" w:space="0"/>
            </w:tcBorders>
            <w:shd w:val="clear" w:color="auto" w:fill="auto"/>
            <w:tcMar>
              <w:top w:w="75" w:type="dxa"/>
              <w:left w:w="105" w:type="dxa"/>
              <w:bottom w:w="75" w:type="dxa"/>
              <w:right w:w="105" w:type="dxa"/>
            </w:tcMar>
            <w:vAlign w:val="center"/>
          </w:tcPr>
          <w:p w14:paraId="2DE959B9">
            <w:pPr>
              <w:pStyle w:val="2"/>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line="240" w:lineRule="auto"/>
              <w:ind w:left="0" w:leftChars="0" w:right="0" w:rightChars="0" w:firstLine="0" w:firstLineChars="0"/>
              <w:jc w:val="left"/>
              <w:rPr>
                <w:rFonts w:hint="eastAsia" w:ascii="Calibri" w:eastAsia="宋体"/>
                <w:color w:val="FF0000"/>
                <w:sz w:val="24"/>
                <w:lang w:val="en-US" w:eastAsia="zh-CN"/>
              </w:rPr>
            </w:pPr>
            <w:r>
              <w:rPr>
                <w:rFonts w:hint="eastAsia" w:ascii="Calibri" w:eastAsia="宋体"/>
                <w:color w:val="000000" w:themeColor="text1"/>
                <w:sz w:val="24"/>
                <w:lang w:val="en-US" w:eastAsia="zh-CN"/>
                <w14:textFill>
                  <w14:solidFill>
                    <w14:schemeClr w14:val="tx1"/>
                  </w14:solidFill>
                </w14:textFill>
              </w:rPr>
              <w:t>2</w:t>
            </w:r>
          </w:p>
        </w:tc>
        <w:tc>
          <w:tcPr>
            <w:tcW w:w="3241" w:type="dxa"/>
            <w:tcBorders>
              <w:top w:val="single" w:color="000000" w:sz="6" w:space="0"/>
              <w:left w:val="single" w:color="000000" w:sz="6" w:space="0"/>
              <w:bottom w:val="single" w:color="000000" w:sz="6" w:space="0"/>
              <w:right w:val="single" w:color="000000" w:sz="6" w:space="0"/>
            </w:tcBorders>
            <w:shd w:val="clear" w:color="auto" w:fill="auto"/>
            <w:tcMar>
              <w:top w:w="75" w:type="dxa"/>
              <w:left w:w="105" w:type="dxa"/>
              <w:bottom w:w="75" w:type="dxa"/>
              <w:right w:w="105" w:type="dxa"/>
            </w:tcMar>
            <w:vAlign w:val="center"/>
          </w:tcPr>
          <w:p w14:paraId="3065D1E1">
            <w:pPr>
              <w:pStyle w:val="2"/>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line="240" w:lineRule="auto"/>
              <w:ind w:left="0" w:leftChars="0" w:right="0" w:rightChars="0" w:firstLine="0" w:firstLineChars="0"/>
              <w:jc w:val="left"/>
              <w:rPr>
                <w:rFonts w:hint="default" w:ascii="Calibri" w:eastAsia="宋体"/>
                <w:color w:val="FF0000"/>
                <w:sz w:val="24"/>
                <w:lang w:val="en-US" w:eastAsia="zh-CN"/>
              </w:rPr>
            </w:pPr>
            <w:r>
              <w:rPr>
                <w:rFonts w:ascii="Calibri" w:eastAsia="宋体"/>
                <w:color w:val="000000" w:themeColor="text1"/>
                <w:sz w:val="24"/>
                <w14:textFill>
                  <w14:solidFill>
                    <w14:schemeClr w14:val="tx1"/>
                  </w14:solidFill>
                </w14:textFill>
              </w:rPr>
              <w:t>云浮市伴你同游旅行社有限公司</w:t>
            </w:r>
          </w:p>
        </w:tc>
        <w:tc>
          <w:tcPr>
            <w:tcW w:w="4627" w:type="dxa"/>
            <w:tcBorders>
              <w:top w:val="single" w:color="000000" w:sz="6" w:space="0"/>
              <w:left w:val="single" w:color="000000" w:sz="6" w:space="0"/>
              <w:bottom w:val="single" w:color="000000" w:sz="6" w:space="0"/>
              <w:right w:val="single" w:color="000000" w:sz="6" w:space="0"/>
            </w:tcBorders>
            <w:shd w:val="clear" w:color="auto" w:fill="auto"/>
            <w:tcMar>
              <w:top w:w="75" w:type="dxa"/>
              <w:left w:w="105" w:type="dxa"/>
              <w:bottom w:w="75" w:type="dxa"/>
              <w:right w:w="105" w:type="dxa"/>
            </w:tcMar>
            <w:vAlign w:val="center"/>
          </w:tcPr>
          <w:p w14:paraId="1A609D0B">
            <w:pPr>
              <w:pStyle w:val="2"/>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line="240" w:lineRule="auto"/>
              <w:ind w:left="0" w:leftChars="0" w:right="0" w:rightChars="0" w:firstLine="0" w:firstLineChars="0"/>
              <w:jc w:val="left"/>
              <w:rPr>
                <w:rFonts w:hint="eastAsia" w:ascii="Calibri" w:eastAsia="宋体"/>
                <w:color w:val="000000" w:themeColor="text1"/>
                <w:sz w:val="24"/>
                <w:lang w:val="en-US" w:eastAsia="zh-CN"/>
                <w14:textFill>
                  <w14:solidFill>
                    <w14:schemeClr w14:val="tx1"/>
                  </w14:solidFill>
                </w14:textFill>
              </w:rPr>
            </w:pPr>
            <w:r>
              <w:rPr>
                <w:rFonts w:hint="eastAsia" w:ascii="Calibri" w:eastAsia="宋体"/>
                <w:b/>
                <w:bCs/>
                <w:color w:val="000000" w:themeColor="text1"/>
                <w:sz w:val="24"/>
                <w:lang w:val="en-US" w:eastAsia="zh-CN"/>
                <w14:textFill>
                  <w14:solidFill>
                    <w14:schemeClr w14:val="tx1"/>
                  </w14:solidFill>
                </w14:textFill>
              </w:rPr>
              <w:t>资质：</w:t>
            </w:r>
            <w:r>
              <w:rPr>
                <w:rFonts w:hint="eastAsia" w:ascii="Calibri" w:eastAsia="宋体"/>
                <w:color w:val="000000" w:themeColor="text1"/>
                <w:sz w:val="24"/>
                <w:lang w:val="en-US" w:eastAsia="zh-CN"/>
                <w14:textFill>
                  <w14:solidFill>
                    <w14:schemeClr w14:val="tx1"/>
                  </w14:solidFill>
                </w14:textFill>
              </w:rPr>
              <w:t>营业执照：证书编号91445302680552158K，有效期（长期有效），旅行社业务经营许可证：证书编号L-GD00549，（长期有效），其他相关资质： 云浮市汽车运输集团有限公司，证书编号914453001957719123，有效期长期。</w:t>
            </w:r>
          </w:p>
          <w:p w14:paraId="1FA18CB1">
            <w:pPr>
              <w:pStyle w:val="2"/>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line="240" w:lineRule="auto"/>
              <w:ind w:left="0" w:leftChars="0" w:right="0" w:rightChars="0" w:firstLine="0" w:firstLineChars="0"/>
              <w:jc w:val="left"/>
              <w:rPr>
                <w:rFonts w:hint="eastAsia" w:ascii="Calibri" w:eastAsia="宋体"/>
                <w:color w:val="000000" w:themeColor="text1"/>
                <w:sz w:val="24"/>
                <w:lang w:val="en-US" w:eastAsia="zh-CN"/>
                <w14:textFill>
                  <w14:solidFill>
                    <w14:schemeClr w14:val="tx1"/>
                  </w14:solidFill>
                </w14:textFill>
              </w:rPr>
            </w:pPr>
          </w:p>
          <w:p w14:paraId="53A57820">
            <w:pPr>
              <w:pStyle w:val="2"/>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line="240" w:lineRule="auto"/>
              <w:ind w:left="0" w:leftChars="0" w:right="0" w:rightChars="0" w:firstLine="0" w:firstLineChars="0"/>
              <w:jc w:val="left"/>
              <w:rPr>
                <w:rFonts w:hint="eastAsia" w:ascii="Calibri" w:eastAsia="宋体"/>
                <w:color w:val="000000" w:themeColor="text1"/>
                <w:sz w:val="24"/>
                <w:lang w:val="en-US" w:eastAsia="zh-CN"/>
                <w14:textFill>
                  <w14:solidFill>
                    <w14:schemeClr w14:val="tx1"/>
                  </w14:solidFill>
                </w14:textFill>
              </w:rPr>
            </w:pPr>
            <w:r>
              <w:rPr>
                <w:rFonts w:hint="eastAsia" w:ascii="Calibri" w:eastAsia="宋体"/>
                <w:b/>
                <w:bCs/>
                <w:color w:val="000000" w:themeColor="text1"/>
                <w:sz w:val="24"/>
                <w:lang w:val="en-US" w:eastAsia="zh-CN"/>
                <w14:textFill>
                  <w14:solidFill>
                    <w14:schemeClr w14:val="tx1"/>
                  </w14:solidFill>
                </w14:textFill>
              </w:rPr>
              <w:t>服务能力：</w:t>
            </w:r>
            <w:r>
              <w:rPr>
                <w:rFonts w:hint="eastAsia" w:ascii="Calibri" w:eastAsia="宋体"/>
                <w:color w:val="000000" w:themeColor="text1"/>
                <w:sz w:val="24"/>
                <w:lang w:val="en-US" w:eastAsia="zh-CN"/>
                <w14:textFill>
                  <w14:solidFill>
                    <w14:schemeClr w14:val="tx1"/>
                  </w14:solidFill>
                </w14:textFill>
              </w:rPr>
              <w:t>专业团队配置：设立独立研学事业部，配备专职研学课程研发师、持证研学导师、专职安全员、全程带队工作人员、后勤保障专员固定团队。 全流程服务体系：建立“前期定制策划、中期全程执行、后期总结复盘”闭环服务模式。应急</w:t>
            </w:r>
            <w:r>
              <w:rPr>
                <w:rFonts w:hint="eastAsia" w:ascii="Calibri" w:eastAsia="宋体"/>
                <w:b w:val="0"/>
                <w:bCs w:val="0"/>
                <w:color w:val="000000" w:themeColor="text1"/>
                <w:sz w:val="24"/>
                <w:lang w:val="en-US" w:eastAsia="zh-CN"/>
                <w14:textFill>
                  <w14:solidFill>
                    <w14:schemeClr w14:val="tx1"/>
                  </w14:solidFill>
                </w14:textFill>
              </w:rPr>
              <w:t>处置能力：</w:t>
            </w:r>
            <w:r>
              <w:rPr>
                <w:rFonts w:hint="eastAsia" w:ascii="Calibri" w:eastAsia="宋体"/>
                <w:color w:val="000000" w:themeColor="text1"/>
                <w:sz w:val="24"/>
                <w:lang w:val="en-US" w:eastAsia="zh-CN"/>
                <w14:textFill>
                  <w14:solidFill>
                    <w14:schemeClr w14:val="tx1"/>
                  </w14:solidFill>
                </w14:textFill>
              </w:rPr>
              <w:t xml:space="preserve">制定完善的研学活动突发事件应急预案。 </w:t>
            </w:r>
          </w:p>
          <w:p w14:paraId="516D16AF">
            <w:pPr>
              <w:pStyle w:val="2"/>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line="240" w:lineRule="auto"/>
              <w:ind w:left="0" w:leftChars="0" w:right="0" w:rightChars="0" w:firstLine="0" w:firstLineChars="0"/>
              <w:jc w:val="left"/>
              <w:rPr>
                <w:rFonts w:hint="eastAsia" w:ascii="Calibri" w:eastAsia="宋体"/>
                <w:color w:val="000000" w:themeColor="text1"/>
                <w:sz w:val="24"/>
                <w:lang w:val="en-US" w:eastAsia="zh-CN"/>
                <w14:textFill>
                  <w14:solidFill>
                    <w14:schemeClr w14:val="tx1"/>
                  </w14:solidFill>
                </w14:textFill>
              </w:rPr>
            </w:pPr>
          </w:p>
          <w:p w14:paraId="7803F35E">
            <w:pPr>
              <w:pStyle w:val="2"/>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line="240" w:lineRule="auto"/>
              <w:ind w:left="0" w:leftChars="0" w:right="0" w:rightChars="0" w:firstLine="0" w:firstLineChars="0"/>
              <w:jc w:val="left"/>
              <w:rPr>
                <w:rFonts w:hint="eastAsia" w:ascii="Calibri" w:eastAsia="宋体"/>
                <w:color w:val="000000" w:themeColor="text1"/>
                <w:sz w:val="24"/>
                <w:lang w:val="en-US" w:eastAsia="zh-CN"/>
                <w14:textFill>
                  <w14:solidFill>
                    <w14:schemeClr w14:val="tx1"/>
                  </w14:solidFill>
                </w14:textFill>
              </w:rPr>
            </w:pPr>
            <w:r>
              <w:rPr>
                <w:rFonts w:hint="eastAsia" w:ascii="Calibri" w:eastAsia="宋体"/>
                <w:b/>
                <w:bCs/>
                <w:color w:val="000000" w:themeColor="text1"/>
                <w:sz w:val="24"/>
                <w:lang w:val="en-US" w:eastAsia="zh-CN"/>
                <w14:textFill>
                  <w14:solidFill>
                    <w14:schemeClr w14:val="tx1"/>
                  </w14:solidFill>
                </w14:textFill>
              </w:rPr>
              <w:t>经营记录：</w:t>
            </w:r>
            <w:r>
              <w:rPr>
                <w:rFonts w:hint="eastAsia" w:ascii="Calibri" w:eastAsia="宋体"/>
                <w:color w:val="000000" w:themeColor="text1"/>
                <w:sz w:val="24"/>
                <w:lang w:val="en-US" w:eastAsia="zh-CN"/>
                <w14:textFill>
                  <w14:solidFill>
                    <w14:schemeClr w14:val="tx1"/>
                  </w14:solidFill>
                </w14:textFill>
              </w:rPr>
              <w:t>诚信经营、广东省3A级旅行社、云浮老品牌、无不良违规记录，在文旅部门、市场监管部门信用记录良好，严格遵守研学旅行行业管理规定及校园服务准则，坚守合法合规经营底线。案例：1.名称广州华南理工大学、黄花岗72烈士陵园研学一天，280人学校：云浮市云浮中学。2.高明盈香心动乐园一天：1200人，广州融创乐园一天：780人；清远长隆森林王国一天750人，广州中山大学、黄花岗72烈士陵园研学一天550人，学校：云浮市伊顿实验学校3。传承红色基因郁南磨刀山、兰寨研学一天800人学校：郁南实验中学4.传承红色基因郁南磨刀山、康家大屋、兰寨研学一天128人学校：郁南初级中学；盛世樱桃劳动教育、云浮博物馆、邓发故居研学2天120人学校：郁南实验中学等。</w:t>
            </w:r>
          </w:p>
          <w:p w14:paraId="66E3A26B">
            <w:pPr>
              <w:pStyle w:val="2"/>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line="240" w:lineRule="auto"/>
              <w:ind w:left="0" w:leftChars="0" w:right="0" w:rightChars="0" w:firstLine="0" w:firstLineChars="0"/>
              <w:jc w:val="left"/>
              <w:rPr>
                <w:rFonts w:hint="eastAsia" w:ascii="Calibri" w:eastAsia="宋体"/>
                <w:color w:val="000000" w:themeColor="text1"/>
                <w:sz w:val="24"/>
                <w:lang w:val="en-US" w:eastAsia="zh-CN"/>
                <w14:textFill>
                  <w14:solidFill>
                    <w14:schemeClr w14:val="tx1"/>
                  </w14:solidFill>
                </w14:textFill>
              </w:rPr>
            </w:pPr>
          </w:p>
          <w:p w14:paraId="11311550">
            <w:pPr>
              <w:pStyle w:val="2"/>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line="240" w:lineRule="auto"/>
              <w:ind w:left="0" w:leftChars="0" w:right="0" w:rightChars="0" w:firstLine="0" w:firstLineChars="0"/>
              <w:jc w:val="left"/>
              <w:rPr>
                <w:rStyle w:val="5"/>
                <w:rFonts w:hint="default" w:ascii="Calibri" w:eastAsia="宋体"/>
                <w:b w:val="0"/>
                <w:bCs/>
                <w:color w:val="FF0000"/>
                <w:sz w:val="24"/>
                <w:lang w:val="en-US" w:eastAsia="zh-CN"/>
              </w:rPr>
            </w:pPr>
            <w:r>
              <w:rPr>
                <w:rFonts w:hint="eastAsia" w:ascii="Calibri" w:eastAsia="宋体"/>
                <w:b/>
                <w:bCs/>
                <w:color w:val="000000" w:themeColor="text1"/>
                <w:sz w:val="24"/>
                <w:lang w:val="en-US" w:eastAsia="zh-CN"/>
                <w14:textFill>
                  <w14:solidFill>
                    <w14:schemeClr w14:val="tx1"/>
                  </w14:solidFill>
                </w14:textFill>
              </w:rPr>
              <w:t>研学课程和收费标准：</w:t>
            </w:r>
            <w:r>
              <w:rPr>
                <w:rFonts w:hint="eastAsia" w:ascii="Calibri" w:eastAsia="宋体"/>
                <w:color w:val="000000" w:themeColor="text1"/>
                <w:sz w:val="24"/>
                <w:lang w:val="en-US" w:eastAsia="zh-CN"/>
                <w14:textFill>
                  <w14:solidFill>
                    <w14:schemeClr w14:val="tx1"/>
                  </w14:solidFill>
                </w14:textFill>
              </w:rPr>
              <w:t>传承红色基因郁南磨刀山、康家大屋、兰寨研学一天 128元/人。高村盛世樱桃自然研学与劳动教育研学一天145元/人。叶季壮故居、象窝山研学探秘1天游148元/人。广东科学中心+广东省博物馆研学一天155元/人。蟠龙洞+云浮博物馆+邓发故居一天99元/人</w:t>
            </w:r>
          </w:p>
        </w:tc>
      </w:tr>
      <w:tr w14:paraId="627EB818">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auto"/>
          <w:tblCellMar>
            <w:top w:w="0" w:type="dxa"/>
            <w:left w:w="0" w:type="dxa"/>
            <w:bottom w:w="0" w:type="dxa"/>
            <w:right w:w="0" w:type="dxa"/>
          </w:tblCellMar>
        </w:tblPrEx>
        <w:trPr>
          <w:trHeight w:val="0" w:hRule="atLeast"/>
        </w:trPr>
        <w:tc>
          <w:tcPr>
            <w:tcW w:w="654" w:type="dxa"/>
            <w:tcBorders>
              <w:top w:val="single" w:color="000000" w:sz="6" w:space="0"/>
              <w:left w:val="single" w:color="000000" w:sz="6" w:space="0"/>
              <w:bottom w:val="single" w:color="000000" w:sz="6" w:space="0"/>
              <w:right w:val="single" w:color="000000" w:sz="6" w:space="0"/>
            </w:tcBorders>
            <w:shd w:val="clear" w:color="auto" w:fill="auto"/>
            <w:tcMar>
              <w:top w:w="75" w:type="dxa"/>
              <w:left w:w="105" w:type="dxa"/>
              <w:bottom w:w="75" w:type="dxa"/>
              <w:right w:w="105" w:type="dxa"/>
            </w:tcMar>
            <w:vAlign w:val="center"/>
          </w:tcPr>
          <w:p w14:paraId="4D327E45">
            <w:pPr>
              <w:pStyle w:val="2"/>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line="240" w:lineRule="auto"/>
              <w:ind w:left="0" w:leftChars="0" w:right="0" w:rightChars="0" w:firstLine="0" w:firstLineChars="0"/>
              <w:jc w:val="center"/>
              <w:rPr>
                <w:rFonts w:hint="eastAsia" w:ascii="Calibri" w:eastAsia="宋体"/>
                <w:color w:val="000000" w:themeColor="text1"/>
                <w:sz w:val="24"/>
                <w:lang w:val="en-US" w:eastAsia="zh-CN"/>
                <w14:textFill>
                  <w14:solidFill>
                    <w14:schemeClr w14:val="tx1"/>
                  </w14:solidFill>
                </w14:textFill>
              </w:rPr>
            </w:pPr>
          </w:p>
          <w:p w14:paraId="0274F95B">
            <w:pPr>
              <w:pStyle w:val="2"/>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line="240" w:lineRule="auto"/>
              <w:ind w:left="0" w:leftChars="0" w:right="0" w:rightChars="0" w:firstLine="0" w:firstLineChars="0"/>
              <w:jc w:val="center"/>
              <w:rPr>
                <w:rFonts w:hint="eastAsia" w:ascii="Calibri" w:eastAsia="宋体"/>
                <w:color w:val="000000" w:themeColor="text1"/>
                <w:sz w:val="24"/>
                <w:lang w:val="en-US" w:eastAsia="zh-CN"/>
                <w14:textFill>
                  <w14:solidFill>
                    <w14:schemeClr w14:val="tx1"/>
                  </w14:solidFill>
                </w14:textFill>
              </w:rPr>
            </w:pPr>
          </w:p>
          <w:p w14:paraId="183250D1">
            <w:pPr>
              <w:pStyle w:val="2"/>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line="240" w:lineRule="auto"/>
              <w:ind w:left="0" w:leftChars="0" w:right="0" w:rightChars="0" w:firstLine="0" w:firstLineChars="0"/>
              <w:jc w:val="center"/>
              <w:rPr>
                <w:rFonts w:hint="eastAsia" w:ascii="Calibri" w:eastAsia="宋体"/>
                <w:color w:val="000000" w:themeColor="text1"/>
                <w:sz w:val="24"/>
                <w:lang w:val="en-US" w:eastAsia="zh-CN"/>
                <w14:textFill>
                  <w14:solidFill>
                    <w14:schemeClr w14:val="tx1"/>
                  </w14:solidFill>
                </w14:textFill>
              </w:rPr>
            </w:pPr>
          </w:p>
          <w:p w14:paraId="4BB63185">
            <w:pPr>
              <w:pStyle w:val="2"/>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line="240" w:lineRule="auto"/>
              <w:ind w:left="0" w:leftChars="0" w:right="0" w:rightChars="0" w:firstLine="0" w:firstLineChars="0"/>
              <w:jc w:val="center"/>
              <w:rPr>
                <w:rFonts w:hint="eastAsia" w:ascii="Calibri" w:eastAsia="宋体"/>
                <w:color w:val="000000" w:themeColor="text1"/>
                <w:sz w:val="24"/>
                <w:lang w:val="en-US" w:eastAsia="zh-CN"/>
                <w14:textFill>
                  <w14:solidFill>
                    <w14:schemeClr w14:val="tx1"/>
                  </w14:solidFill>
                </w14:textFill>
              </w:rPr>
            </w:pPr>
          </w:p>
          <w:p w14:paraId="6B59C433">
            <w:pPr>
              <w:pStyle w:val="2"/>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line="240" w:lineRule="auto"/>
              <w:ind w:left="0" w:leftChars="0" w:right="0" w:rightChars="0" w:firstLine="0" w:firstLineChars="0"/>
              <w:jc w:val="center"/>
              <w:rPr>
                <w:rFonts w:hint="eastAsia" w:ascii="Calibri" w:eastAsia="宋体"/>
                <w:color w:val="000000" w:themeColor="text1"/>
                <w:sz w:val="24"/>
                <w:lang w:val="en-US" w:eastAsia="zh-CN"/>
                <w14:textFill>
                  <w14:solidFill>
                    <w14:schemeClr w14:val="tx1"/>
                  </w14:solidFill>
                </w14:textFill>
              </w:rPr>
            </w:pPr>
          </w:p>
          <w:p w14:paraId="36A656AD">
            <w:pPr>
              <w:pStyle w:val="2"/>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line="240" w:lineRule="auto"/>
              <w:ind w:left="0" w:leftChars="0" w:right="0" w:rightChars="0" w:firstLine="0" w:firstLineChars="0"/>
              <w:jc w:val="center"/>
              <w:rPr>
                <w:rFonts w:hint="eastAsia" w:ascii="Calibri" w:eastAsia="宋体"/>
                <w:color w:val="000000" w:themeColor="text1"/>
                <w:sz w:val="24"/>
                <w:lang w:val="en-US" w:eastAsia="zh-CN"/>
                <w14:textFill>
                  <w14:solidFill>
                    <w14:schemeClr w14:val="tx1"/>
                  </w14:solidFill>
                </w14:textFill>
              </w:rPr>
            </w:pPr>
          </w:p>
          <w:p w14:paraId="51ACF1B7">
            <w:pPr>
              <w:pStyle w:val="2"/>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line="240" w:lineRule="auto"/>
              <w:ind w:left="0" w:leftChars="0" w:right="0" w:rightChars="0" w:firstLine="0" w:firstLineChars="0"/>
              <w:jc w:val="center"/>
              <w:rPr>
                <w:rFonts w:hint="eastAsia" w:ascii="Calibri" w:eastAsia="宋体"/>
                <w:color w:val="000000" w:themeColor="text1"/>
                <w:sz w:val="24"/>
                <w:lang w:val="en-US" w:eastAsia="zh-CN"/>
                <w14:textFill>
                  <w14:solidFill>
                    <w14:schemeClr w14:val="tx1"/>
                  </w14:solidFill>
                </w14:textFill>
              </w:rPr>
            </w:pPr>
          </w:p>
          <w:p w14:paraId="12830E9C">
            <w:pPr>
              <w:pStyle w:val="2"/>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line="240" w:lineRule="auto"/>
              <w:ind w:left="0" w:leftChars="0" w:right="0" w:rightChars="0" w:firstLine="0" w:firstLineChars="0"/>
              <w:jc w:val="center"/>
              <w:rPr>
                <w:rFonts w:hint="eastAsia" w:ascii="Calibri" w:eastAsia="宋体"/>
                <w:color w:val="FF0000"/>
                <w:sz w:val="24"/>
                <w:lang w:eastAsia="zh-CN"/>
              </w:rPr>
            </w:pPr>
            <w:r>
              <w:rPr>
                <w:rFonts w:hint="eastAsia" w:ascii="Calibri" w:eastAsia="宋体"/>
                <w:color w:val="000000" w:themeColor="text1"/>
                <w:sz w:val="24"/>
                <w:lang w:val="en-US" w:eastAsia="zh-CN"/>
                <w14:textFill>
                  <w14:solidFill>
                    <w14:schemeClr w14:val="tx1"/>
                  </w14:solidFill>
                </w14:textFill>
              </w:rPr>
              <w:t>3</w:t>
            </w:r>
          </w:p>
        </w:tc>
        <w:tc>
          <w:tcPr>
            <w:tcW w:w="3241" w:type="dxa"/>
            <w:tcBorders>
              <w:top w:val="single" w:color="000000" w:sz="6" w:space="0"/>
              <w:left w:val="single" w:color="000000" w:sz="6" w:space="0"/>
              <w:bottom w:val="single" w:color="000000" w:sz="6" w:space="0"/>
              <w:right w:val="single" w:color="000000" w:sz="6" w:space="0"/>
            </w:tcBorders>
            <w:shd w:val="clear" w:color="auto" w:fill="auto"/>
            <w:tcMar>
              <w:top w:w="75" w:type="dxa"/>
              <w:left w:w="105" w:type="dxa"/>
              <w:bottom w:w="75" w:type="dxa"/>
              <w:right w:w="105" w:type="dxa"/>
            </w:tcMar>
            <w:vAlign w:val="center"/>
          </w:tcPr>
          <w:p w14:paraId="7C3B3055">
            <w:pPr>
              <w:pStyle w:val="2"/>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line="240" w:lineRule="auto"/>
              <w:ind w:left="0" w:leftChars="0" w:right="0" w:rightChars="0" w:firstLine="0" w:firstLineChars="0"/>
              <w:jc w:val="left"/>
              <w:rPr>
                <w:rFonts w:hint="eastAsia" w:ascii="Calibri" w:eastAsia="宋体"/>
                <w:color w:val="000000" w:themeColor="text1"/>
                <w:sz w:val="24"/>
                <w:lang w:val="en-US" w:eastAsia="zh-CN"/>
                <w14:textFill>
                  <w14:solidFill>
                    <w14:schemeClr w14:val="tx1"/>
                  </w14:solidFill>
                </w14:textFill>
              </w:rPr>
            </w:pPr>
          </w:p>
          <w:p w14:paraId="05EEE0CC">
            <w:pPr>
              <w:pStyle w:val="2"/>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line="240" w:lineRule="auto"/>
              <w:ind w:left="0" w:leftChars="0" w:right="0" w:rightChars="0" w:firstLine="0" w:firstLineChars="0"/>
              <w:jc w:val="left"/>
              <w:rPr>
                <w:rFonts w:hint="eastAsia" w:ascii="Calibri" w:eastAsia="宋体"/>
                <w:color w:val="000000" w:themeColor="text1"/>
                <w:sz w:val="24"/>
                <w:lang w:val="en-US" w:eastAsia="zh-CN"/>
                <w14:textFill>
                  <w14:solidFill>
                    <w14:schemeClr w14:val="tx1"/>
                  </w14:solidFill>
                </w14:textFill>
              </w:rPr>
            </w:pPr>
          </w:p>
          <w:p w14:paraId="1FE174F8">
            <w:pPr>
              <w:pStyle w:val="2"/>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line="240" w:lineRule="auto"/>
              <w:ind w:left="0" w:leftChars="0" w:right="0" w:rightChars="0" w:firstLine="0" w:firstLineChars="0"/>
              <w:jc w:val="left"/>
              <w:rPr>
                <w:rFonts w:hint="eastAsia" w:ascii="Calibri" w:eastAsia="宋体"/>
                <w:color w:val="000000" w:themeColor="text1"/>
                <w:sz w:val="24"/>
                <w:lang w:val="en-US" w:eastAsia="zh-CN"/>
                <w14:textFill>
                  <w14:solidFill>
                    <w14:schemeClr w14:val="tx1"/>
                  </w14:solidFill>
                </w14:textFill>
              </w:rPr>
            </w:pPr>
          </w:p>
          <w:p w14:paraId="12856DEE">
            <w:pPr>
              <w:pStyle w:val="2"/>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line="240" w:lineRule="auto"/>
              <w:ind w:left="0" w:leftChars="0" w:right="0" w:rightChars="0" w:firstLine="0" w:firstLineChars="0"/>
              <w:jc w:val="left"/>
              <w:rPr>
                <w:rFonts w:hint="eastAsia" w:ascii="Calibri" w:eastAsia="宋体"/>
                <w:color w:val="000000" w:themeColor="text1"/>
                <w:sz w:val="24"/>
                <w:lang w:val="en-US" w:eastAsia="zh-CN"/>
                <w14:textFill>
                  <w14:solidFill>
                    <w14:schemeClr w14:val="tx1"/>
                  </w14:solidFill>
                </w14:textFill>
              </w:rPr>
            </w:pPr>
          </w:p>
          <w:p w14:paraId="11979F7D">
            <w:pPr>
              <w:pStyle w:val="2"/>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line="240" w:lineRule="auto"/>
              <w:ind w:left="0" w:leftChars="0" w:right="0" w:rightChars="0" w:firstLine="0" w:firstLineChars="0"/>
              <w:jc w:val="left"/>
              <w:rPr>
                <w:rFonts w:hint="eastAsia" w:ascii="Calibri" w:eastAsia="宋体"/>
                <w:color w:val="000000" w:themeColor="text1"/>
                <w:sz w:val="24"/>
                <w:lang w:val="en-US" w:eastAsia="zh-CN"/>
                <w14:textFill>
                  <w14:solidFill>
                    <w14:schemeClr w14:val="tx1"/>
                  </w14:solidFill>
                </w14:textFill>
              </w:rPr>
            </w:pPr>
          </w:p>
          <w:p w14:paraId="3EE73B99">
            <w:pPr>
              <w:pStyle w:val="2"/>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line="240" w:lineRule="auto"/>
              <w:ind w:left="0" w:leftChars="0" w:right="0" w:rightChars="0" w:firstLine="0" w:firstLineChars="0"/>
              <w:jc w:val="left"/>
              <w:rPr>
                <w:rFonts w:hint="eastAsia" w:ascii="Calibri" w:eastAsia="宋体"/>
                <w:color w:val="000000" w:themeColor="text1"/>
                <w:sz w:val="24"/>
                <w:lang w:val="en-US" w:eastAsia="zh-CN"/>
                <w14:textFill>
                  <w14:solidFill>
                    <w14:schemeClr w14:val="tx1"/>
                  </w14:solidFill>
                </w14:textFill>
              </w:rPr>
            </w:pPr>
          </w:p>
          <w:p w14:paraId="3D168B6A">
            <w:pPr>
              <w:pStyle w:val="2"/>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line="240" w:lineRule="auto"/>
              <w:ind w:left="0" w:leftChars="0" w:right="0" w:rightChars="0" w:firstLine="0" w:firstLineChars="0"/>
              <w:jc w:val="left"/>
              <w:rPr>
                <w:rFonts w:hint="eastAsia" w:ascii="Calibri" w:eastAsia="宋体"/>
                <w:color w:val="000000" w:themeColor="text1"/>
                <w:sz w:val="24"/>
                <w:lang w:val="en-US" w:eastAsia="zh-CN"/>
                <w14:textFill>
                  <w14:solidFill>
                    <w14:schemeClr w14:val="tx1"/>
                  </w14:solidFill>
                </w14:textFill>
              </w:rPr>
            </w:pPr>
          </w:p>
          <w:p w14:paraId="4D7C8376">
            <w:pPr>
              <w:pStyle w:val="2"/>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line="240" w:lineRule="auto"/>
              <w:ind w:left="0" w:leftChars="0" w:right="0" w:rightChars="0" w:firstLine="0" w:firstLineChars="0"/>
              <w:jc w:val="left"/>
              <w:rPr>
                <w:rFonts w:hint="default" w:ascii="Calibri" w:eastAsia="宋体"/>
                <w:color w:val="FF0000"/>
                <w:sz w:val="24"/>
                <w:lang w:val="en-US"/>
              </w:rPr>
            </w:pPr>
            <w:r>
              <w:rPr>
                <w:rFonts w:hint="eastAsia" w:ascii="Calibri" w:eastAsia="宋体"/>
                <w:color w:val="000000" w:themeColor="text1"/>
                <w:sz w:val="24"/>
                <w:lang w:val="en-US" w:eastAsia="zh-CN"/>
                <w14:textFill>
                  <w14:solidFill>
                    <w14:schemeClr w14:val="tx1"/>
                  </w14:solidFill>
                </w14:textFill>
              </w:rPr>
              <w:t>广州怡行研学国际旅行社有限公司</w:t>
            </w:r>
          </w:p>
        </w:tc>
        <w:tc>
          <w:tcPr>
            <w:tcW w:w="4627" w:type="dxa"/>
            <w:tcBorders>
              <w:top w:val="single" w:color="000000" w:sz="6" w:space="0"/>
              <w:left w:val="single" w:color="000000" w:sz="6" w:space="0"/>
              <w:bottom w:val="single" w:color="000000" w:sz="6" w:space="0"/>
              <w:right w:val="single" w:color="000000" w:sz="6" w:space="0"/>
            </w:tcBorders>
            <w:shd w:val="clear" w:color="auto" w:fill="auto"/>
            <w:tcMar>
              <w:top w:w="75" w:type="dxa"/>
              <w:left w:w="105" w:type="dxa"/>
              <w:bottom w:w="75" w:type="dxa"/>
              <w:right w:w="105" w:type="dxa"/>
            </w:tcMar>
            <w:vAlign w:val="center"/>
          </w:tcPr>
          <w:p w14:paraId="20CC9009">
            <w:pPr>
              <w:pStyle w:val="2"/>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line="240" w:lineRule="auto"/>
              <w:ind w:left="0" w:leftChars="0" w:right="0" w:rightChars="0" w:firstLine="0" w:firstLineChars="0"/>
              <w:jc w:val="left"/>
              <w:rPr>
                <w:rFonts w:hint="eastAsia" w:ascii="Calibri" w:eastAsia="宋体"/>
                <w:color w:val="000000" w:themeColor="text1"/>
                <w:sz w:val="24"/>
                <w:lang w:val="en-US" w:eastAsia="zh-CN"/>
                <w14:textFill>
                  <w14:solidFill>
                    <w14:schemeClr w14:val="tx1"/>
                  </w14:solidFill>
                </w14:textFill>
              </w:rPr>
            </w:pPr>
            <w:r>
              <w:rPr>
                <w:rFonts w:hint="eastAsia" w:ascii="Calibri" w:eastAsia="宋体"/>
                <w:b/>
                <w:bCs/>
                <w:color w:val="000000" w:themeColor="text1"/>
                <w:sz w:val="24"/>
                <w:lang w:val="en-US" w:eastAsia="zh-CN"/>
                <w14:textFill>
                  <w14:solidFill>
                    <w14:schemeClr w14:val="tx1"/>
                  </w14:solidFill>
                </w14:textFill>
              </w:rPr>
              <w:t>资质：</w:t>
            </w:r>
            <w:r>
              <w:rPr>
                <w:rFonts w:hint="eastAsia" w:ascii="Calibri" w:eastAsia="宋体"/>
                <w:color w:val="000000" w:themeColor="text1"/>
                <w:sz w:val="24"/>
                <w:lang w:val="en-US" w:eastAsia="zh-CN"/>
                <w14:textFill>
                  <w14:solidFill>
                    <w14:schemeClr w14:val="tx1"/>
                  </w14:solidFill>
                </w14:textFill>
              </w:rPr>
              <w:t>广州怡行研学国际旅行社有限公司，成立于2020年，公司运营团队超百人，隶属于华南地区国基教育智库——广东省国基科教文体集团，是一家专业研学机构。公司已被纳入广州市中小学生研学实践承办准入目录机构名单，同时位列2024年"广东省研学承办机构"认证合格名单之内，资质合规完备。</w:t>
            </w:r>
          </w:p>
          <w:p w14:paraId="7F751A92">
            <w:pPr>
              <w:pStyle w:val="2"/>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line="240" w:lineRule="auto"/>
              <w:ind w:left="0" w:leftChars="0" w:right="0" w:rightChars="0" w:firstLine="0" w:firstLineChars="0"/>
              <w:jc w:val="left"/>
              <w:rPr>
                <w:rFonts w:hint="eastAsia" w:ascii="Calibri" w:eastAsia="宋体"/>
                <w:color w:val="000000" w:themeColor="text1"/>
                <w:sz w:val="24"/>
                <w:lang w:val="en-US" w:eastAsia="zh-CN"/>
                <w14:textFill>
                  <w14:solidFill>
                    <w14:schemeClr w14:val="tx1"/>
                  </w14:solidFill>
                </w14:textFill>
              </w:rPr>
            </w:pPr>
          </w:p>
          <w:p w14:paraId="2EF2AE86">
            <w:pPr>
              <w:pStyle w:val="2"/>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line="240" w:lineRule="auto"/>
              <w:ind w:left="0" w:leftChars="0" w:right="0" w:rightChars="0" w:firstLine="0" w:firstLineChars="0"/>
              <w:jc w:val="left"/>
              <w:rPr>
                <w:rFonts w:hint="eastAsia" w:ascii="Calibri" w:eastAsia="宋体"/>
                <w:color w:val="000000" w:themeColor="text1"/>
                <w:sz w:val="24"/>
                <w:lang w:val="en-US" w:eastAsia="zh-CN"/>
                <w14:textFill>
                  <w14:solidFill>
                    <w14:schemeClr w14:val="tx1"/>
                  </w14:solidFill>
                </w14:textFill>
              </w:rPr>
            </w:pPr>
            <w:r>
              <w:rPr>
                <w:rFonts w:hint="eastAsia" w:ascii="Calibri" w:eastAsia="宋体"/>
                <w:b/>
                <w:bCs/>
                <w:color w:val="000000" w:themeColor="text1"/>
                <w:sz w:val="24"/>
                <w:lang w:val="en-US" w:eastAsia="zh-CN"/>
                <w14:textFill>
                  <w14:solidFill>
                    <w14:schemeClr w14:val="tx1"/>
                  </w14:solidFill>
                </w14:textFill>
              </w:rPr>
              <w:t>服务能力：</w:t>
            </w:r>
            <w:r>
              <w:rPr>
                <w:rFonts w:hint="eastAsia" w:ascii="Calibri" w:eastAsia="宋体"/>
                <w:color w:val="000000" w:themeColor="text1"/>
                <w:sz w:val="24"/>
                <w:lang w:val="en-US" w:eastAsia="zh-CN"/>
                <w14:textFill>
                  <w14:solidFill>
                    <w14:schemeClr w14:val="tx1"/>
                  </w14:solidFill>
                </w14:textFill>
              </w:rPr>
              <w:t>业务涵盖研学旅行、夏冬令营、团体辅导、文化仪式活动、家校亲子课程及生涯规划等。</w:t>
            </w:r>
          </w:p>
          <w:p w14:paraId="6DDFE57D">
            <w:pPr>
              <w:pStyle w:val="2"/>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line="240" w:lineRule="auto"/>
              <w:ind w:left="0" w:leftChars="0" w:right="0" w:rightChars="0" w:firstLine="0" w:firstLineChars="0"/>
              <w:jc w:val="left"/>
              <w:rPr>
                <w:rFonts w:hint="eastAsia" w:ascii="Calibri" w:eastAsia="宋体"/>
                <w:color w:val="000000" w:themeColor="text1"/>
                <w:sz w:val="24"/>
                <w:lang w:val="en-US" w:eastAsia="zh-CN"/>
                <w14:textFill>
                  <w14:solidFill>
                    <w14:schemeClr w14:val="tx1"/>
                  </w14:solidFill>
                </w14:textFill>
              </w:rPr>
            </w:pPr>
            <w:r>
              <w:rPr>
                <w:rFonts w:hint="eastAsia" w:ascii="Calibri" w:eastAsia="宋体"/>
                <w:color w:val="000000" w:themeColor="text1"/>
                <w:sz w:val="24"/>
                <w:lang w:val="en-US" w:eastAsia="zh-CN"/>
                <w14:textFill>
                  <w14:solidFill>
                    <w14:schemeClr w14:val="tx1"/>
                  </w14:solidFill>
                </w14:textFill>
              </w:rPr>
              <w:t>自主研发"怡行研学"智能平台及"教联通"数字化管理平台，可实现研学活动报名、收费、执行、评价全流程线上管理，收费资金直达学校或机构账户，杜绝个人收费，数据留痕可追溯。</w:t>
            </w:r>
          </w:p>
          <w:p w14:paraId="5A50B4FC">
            <w:pPr>
              <w:pStyle w:val="2"/>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line="240" w:lineRule="auto"/>
              <w:ind w:left="0" w:leftChars="0" w:right="0" w:rightChars="0" w:firstLine="0" w:firstLineChars="0"/>
              <w:jc w:val="left"/>
              <w:rPr>
                <w:rFonts w:hint="eastAsia" w:ascii="Calibri" w:eastAsia="宋体"/>
                <w:color w:val="000000" w:themeColor="text1"/>
                <w:sz w:val="24"/>
                <w:lang w:val="en-US" w:eastAsia="zh-CN"/>
                <w14:textFill>
                  <w14:solidFill>
                    <w14:schemeClr w14:val="tx1"/>
                  </w14:solidFill>
                </w14:textFill>
              </w:rPr>
            </w:pPr>
          </w:p>
          <w:p w14:paraId="51A133E8">
            <w:pPr>
              <w:pStyle w:val="2"/>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line="240" w:lineRule="auto"/>
              <w:ind w:left="0" w:leftChars="0" w:right="0" w:rightChars="0" w:firstLine="0" w:firstLineChars="0"/>
              <w:jc w:val="left"/>
              <w:rPr>
                <w:rFonts w:hint="eastAsia" w:ascii="Calibri" w:eastAsia="宋体"/>
                <w:color w:val="000000" w:themeColor="text1"/>
                <w:sz w:val="24"/>
                <w:lang w:val="en-US" w:eastAsia="zh-CN"/>
                <w14:textFill>
                  <w14:solidFill>
                    <w14:schemeClr w14:val="tx1"/>
                  </w14:solidFill>
                </w14:textFill>
              </w:rPr>
            </w:pPr>
            <w:r>
              <w:rPr>
                <w:rFonts w:hint="eastAsia" w:ascii="Calibri" w:eastAsia="宋体"/>
                <w:b/>
                <w:bCs/>
                <w:color w:val="000000" w:themeColor="text1"/>
                <w:sz w:val="24"/>
                <w:lang w:val="en-US" w:eastAsia="zh-CN"/>
                <w14:textFill>
                  <w14:solidFill>
                    <w14:schemeClr w14:val="tx1"/>
                  </w14:solidFill>
                </w14:textFill>
              </w:rPr>
              <w:t>经营记录：</w:t>
            </w:r>
            <w:r>
              <w:rPr>
                <w:rFonts w:hint="eastAsia" w:ascii="Calibri" w:eastAsia="宋体"/>
                <w:color w:val="000000" w:themeColor="text1"/>
                <w:sz w:val="24"/>
                <w:lang w:val="en-US" w:eastAsia="zh-CN"/>
                <w14:textFill>
                  <w14:solidFill>
                    <w14:schemeClr w14:val="tx1"/>
                  </w14:solidFill>
                </w14:textFill>
              </w:rPr>
              <w:t>公司已开发超500条精品研学线路，拥有《爱上一座城》《稻走好时光》等独立知识产权研学品牌，围绕自然风光、科技创新、历史人文、劳动教育、爱国主义教育五大主题设计课程，按年级分层施教，并采用"导—研—展—评"教学闭环体系。公司累计开展主题培训及讲座超1000场，服务学生超50万人次。</w:t>
            </w:r>
          </w:p>
          <w:p w14:paraId="3EBD3908">
            <w:pPr>
              <w:pStyle w:val="2"/>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line="240" w:lineRule="auto"/>
              <w:ind w:left="0" w:leftChars="0" w:right="0" w:rightChars="0" w:firstLine="0" w:firstLineChars="0"/>
              <w:jc w:val="left"/>
              <w:rPr>
                <w:rFonts w:hint="eastAsia" w:ascii="Calibri" w:eastAsia="宋体"/>
                <w:color w:val="000000" w:themeColor="text1"/>
                <w:sz w:val="24"/>
                <w:lang w:val="en-US" w:eastAsia="zh-CN"/>
                <w14:textFill>
                  <w14:solidFill>
                    <w14:schemeClr w14:val="tx1"/>
                  </w14:solidFill>
                </w14:textFill>
              </w:rPr>
            </w:pPr>
          </w:p>
          <w:p w14:paraId="17134331">
            <w:pPr>
              <w:pStyle w:val="2"/>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line="240" w:lineRule="auto"/>
              <w:ind w:left="0" w:leftChars="0" w:right="0" w:rightChars="0" w:firstLine="0" w:firstLineChars="0"/>
              <w:jc w:val="left"/>
              <w:rPr>
                <w:rFonts w:ascii="Calibri" w:eastAsia="宋体"/>
                <w:color w:val="FF0000"/>
                <w:sz w:val="24"/>
              </w:rPr>
            </w:pPr>
            <w:r>
              <w:rPr>
                <w:rFonts w:hint="eastAsia" w:ascii="Calibri" w:eastAsia="宋体"/>
                <w:b/>
                <w:bCs/>
                <w:color w:val="000000" w:themeColor="text1"/>
                <w:sz w:val="24"/>
                <w:lang w:val="en-US" w:eastAsia="zh-CN"/>
                <w14:textFill>
                  <w14:solidFill>
                    <w14:schemeClr w14:val="tx1"/>
                  </w14:solidFill>
                </w14:textFill>
              </w:rPr>
              <w:t>收费标准：</w:t>
            </w:r>
            <w:r>
              <w:rPr>
                <w:rFonts w:hint="eastAsia" w:ascii="Calibri" w:eastAsia="宋体"/>
                <w:color w:val="000000" w:themeColor="text1"/>
                <w:sz w:val="24"/>
                <w:lang w:val="en-US" w:eastAsia="zh-CN"/>
                <w14:textFill>
                  <w14:solidFill>
                    <w14:schemeClr w14:val="tx1"/>
                  </w14:solidFill>
                </w14:textFill>
              </w:rPr>
              <w:t>四条一日研学线路报价：仁善田园208元/人、天露山205元/人、象窝山194元/人、AIGC基地193元/人。费用全包，中途不加收，特困生减免。师资、交通、餐饮、保险配置统一。</w:t>
            </w:r>
          </w:p>
        </w:tc>
      </w:tr>
      <w:tr w14:paraId="38E2166C">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auto"/>
          <w:tblCellMar>
            <w:top w:w="0" w:type="dxa"/>
            <w:left w:w="0" w:type="dxa"/>
            <w:bottom w:w="0" w:type="dxa"/>
            <w:right w:w="0" w:type="dxa"/>
          </w:tblCellMar>
        </w:tblPrEx>
        <w:trPr>
          <w:trHeight w:val="0" w:hRule="atLeast"/>
        </w:trPr>
        <w:tc>
          <w:tcPr>
            <w:tcW w:w="654" w:type="dxa"/>
            <w:tcBorders>
              <w:top w:val="single" w:color="000000" w:sz="6" w:space="0"/>
              <w:left w:val="single" w:color="000000" w:sz="6" w:space="0"/>
              <w:bottom w:val="single" w:color="000000" w:sz="6" w:space="0"/>
              <w:right w:val="single" w:color="000000" w:sz="6" w:space="0"/>
            </w:tcBorders>
            <w:shd w:val="clear" w:color="auto" w:fill="auto"/>
            <w:tcMar>
              <w:top w:w="75" w:type="dxa"/>
              <w:left w:w="105" w:type="dxa"/>
              <w:bottom w:w="75" w:type="dxa"/>
              <w:right w:w="105" w:type="dxa"/>
            </w:tcMar>
            <w:vAlign w:val="center"/>
          </w:tcPr>
          <w:p w14:paraId="24054344">
            <w:pPr>
              <w:pStyle w:val="2"/>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line="240" w:lineRule="auto"/>
              <w:ind w:left="0" w:leftChars="0" w:right="0" w:rightChars="0" w:firstLine="0" w:firstLineChars="0"/>
              <w:jc w:val="center"/>
              <w:rPr>
                <w:rFonts w:hint="default" w:ascii="Calibri" w:eastAsia="宋体"/>
                <w:color w:val="000000" w:themeColor="text1"/>
                <w:sz w:val="24"/>
                <w:lang w:val="en-US" w:eastAsia="zh-CN"/>
                <w14:textFill>
                  <w14:solidFill>
                    <w14:schemeClr w14:val="tx1"/>
                  </w14:solidFill>
                </w14:textFill>
              </w:rPr>
            </w:pPr>
            <w:r>
              <w:rPr>
                <w:rFonts w:hint="eastAsia" w:ascii="Calibri" w:eastAsia="宋体"/>
                <w:color w:val="000000" w:themeColor="text1"/>
                <w:sz w:val="24"/>
                <w:lang w:val="en-US" w:eastAsia="zh-CN"/>
                <w14:textFill>
                  <w14:solidFill>
                    <w14:schemeClr w14:val="tx1"/>
                  </w14:solidFill>
                </w14:textFill>
              </w:rPr>
              <w:t>4</w:t>
            </w:r>
          </w:p>
        </w:tc>
        <w:tc>
          <w:tcPr>
            <w:tcW w:w="3241" w:type="dxa"/>
            <w:tcBorders>
              <w:top w:val="single" w:color="000000" w:sz="6" w:space="0"/>
              <w:left w:val="single" w:color="000000" w:sz="6" w:space="0"/>
              <w:bottom w:val="single" w:color="000000" w:sz="6" w:space="0"/>
              <w:right w:val="single" w:color="000000" w:sz="6" w:space="0"/>
            </w:tcBorders>
            <w:shd w:val="clear" w:color="auto" w:fill="auto"/>
            <w:tcMar>
              <w:top w:w="75" w:type="dxa"/>
              <w:left w:w="105" w:type="dxa"/>
              <w:bottom w:w="75" w:type="dxa"/>
              <w:right w:w="105" w:type="dxa"/>
            </w:tcMar>
            <w:vAlign w:val="center"/>
          </w:tcPr>
          <w:p w14:paraId="4B3E6ABB">
            <w:pPr>
              <w:pStyle w:val="2"/>
              <w:keepNext/>
              <w:keepLines w:val="0"/>
              <w:widowControl/>
              <w:suppressLineNumbers w:val="0"/>
              <w:pBdr>
                <w:top w:val="none" w:color="auto" w:sz="0" w:space="0"/>
                <w:left w:val="none" w:color="auto" w:sz="0" w:space="0"/>
                <w:bottom w:val="none" w:color="auto" w:sz="0" w:space="0"/>
                <w:right w:val="none" w:color="auto" w:sz="0" w:space="0"/>
              </w:pBdr>
              <w:wordWrap w:val="0"/>
              <w:snapToGrid w:val="0"/>
              <w:spacing w:before="0" w:beforeAutospacing="0" w:after="0" w:afterAutospacing="0" w:line="240" w:lineRule="auto"/>
              <w:ind w:left="0" w:leftChars="0" w:right="0" w:rightChars="0" w:firstLine="0" w:firstLineChars="0"/>
              <w:jc w:val="left"/>
              <w:rPr>
                <w:rFonts w:hint="eastAsia" w:ascii="Calibri" w:eastAsia="宋体"/>
                <w:color w:val="000000" w:themeColor="text1"/>
                <w:sz w:val="24"/>
                <w:lang w:val="en-US" w:eastAsia="zh-CN"/>
                <w14:textFill>
                  <w14:solidFill>
                    <w14:schemeClr w14:val="tx1"/>
                  </w14:solidFill>
                </w14:textFill>
              </w:rPr>
            </w:pPr>
            <w:r>
              <w:rPr>
                <w:rFonts w:hint="eastAsia" w:ascii="Calibri" w:eastAsia="宋体"/>
                <w:color w:val="000000" w:themeColor="text1"/>
                <w:sz w:val="24"/>
                <w:lang w:val="en-US" w:eastAsia="zh-CN"/>
                <w14:textFill>
                  <w14:solidFill>
                    <w14:schemeClr w14:val="tx1"/>
                  </w14:solidFill>
                </w14:textFill>
              </w:rPr>
              <w:t>广东中青研旅行社有限公司</w:t>
            </w:r>
          </w:p>
        </w:tc>
        <w:tc>
          <w:tcPr>
            <w:tcW w:w="4627" w:type="dxa"/>
            <w:tcBorders>
              <w:top w:val="single" w:color="000000" w:sz="6" w:space="0"/>
              <w:left w:val="single" w:color="000000" w:sz="6" w:space="0"/>
              <w:bottom w:val="single" w:color="000000" w:sz="6" w:space="0"/>
              <w:right w:val="single" w:color="000000" w:sz="6" w:space="0"/>
            </w:tcBorders>
            <w:shd w:val="clear" w:color="auto" w:fill="auto"/>
            <w:tcMar>
              <w:top w:w="75" w:type="dxa"/>
              <w:left w:w="105" w:type="dxa"/>
              <w:bottom w:w="75" w:type="dxa"/>
              <w:right w:w="105" w:type="dxa"/>
            </w:tcMar>
            <w:vAlign w:val="center"/>
          </w:tcPr>
          <w:p w14:paraId="23B6D307">
            <w:pPr>
              <w:keepNext w:val="0"/>
              <w:keepLines w:val="0"/>
              <w:widowControl/>
              <w:suppressLineNumbers w:val="0"/>
              <w:spacing w:line="21" w:lineRule="atLeast"/>
              <w:ind w:left="0" w:firstLine="0"/>
              <w:jc w:val="left"/>
              <w:rPr>
                <w:rFonts w:hint="default" w:ascii="Calibri" w:eastAsia="宋体" w:hAnsiTheme="minorHAnsi" w:cstheme="minorBidi"/>
                <w:color w:val="000000" w:themeColor="text1"/>
                <w:kern w:val="0"/>
                <w:sz w:val="24"/>
                <w:szCs w:val="24"/>
                <w:lang w:val="en-US" w:eastAsia="zh-CN" w:bidi="ar"/>
                <w14:textFill>
                  <w14:solidFill>
                    <w14:schemeClr w14:val="tx1"/>
                  </w14:solidFill>
                </w14:textFill>
              </w:rPr>
            </w:pPr>
            <w:r>
              <w:rPr>
                <w:rFonts w:hint="default" w:ascii="Calibri" w:eastAsia="宋体" w:hAnsiTheme="minorHAnsi" w:cstheme="minorBidi"/>
                <w:b/>
                <w:bCs/>
                <w:color w:val="000000" w:themeColor="text1"/>
                <w:kern w:val="0"/>
                <w:sz w:val="24"/>
                <w:szCs w:val="24"/>
                <w:lang w:val="en-US" w:eastAsia="zh-CN" w:bidi="ar"/>
                <w14:textFill>
                  <w14:solidFill>
                    <w14:schemeClr w14:val="tx1"/>
                  </w14:solidFill>
                </w14:textFill>
              </w:rPr>
              <w:t>资质：</w:t>
            </w:r>
            <w:r>
              <w:rPr>
                <w:rFonts w:hint="default" w:ascii="Calibri" w:eastAsia="宋体" w:hAnsiTheme="minorHAnsi" w:cstheme="minorBidi"/>
                <w:color w:val="000000" w:themeColor="text1"/>
                <w:kern w:val="0"/>
                <w:sz w:val="24"/>
                <w:szCs w:val="24"/>
                <w:lang w:val="en-US" w:eastAsia="zh-CN" w:bidi="ar"/>
                <w14:textFill>
                  <w14:solidFill>
                    <w14:schemeClr w14:val="tx1"/>
                  </w14:solidFill>
                </w14:textFill>
              </w:rPr>
              <w:t>广东中青研旅行社是由华南师范大学研究生团队创立，专营研学旅行项目，致力于研学路线开发、研学课程设计、研学导师培训以及大小型研学活动开展，是集研学实践教育、民办教育、教师培训、公益教育服务等为一体的综合性文旅教育集团。在阳江、河源等地主导成立研学实践协会，旗下业务包含运营民办学校、研学基地、公益社会团体等。注册资金:1500万，营业注册执号:91441700MA53LQBW6F。旅行社业务经营许可证号:L-GD-100689。用眼睛观察世界、用脚步丈量世界和用生命感受世界是中青研的研学理念，独创“带徒、复盘、自律、演讲、任务、激励、评价”研学七大体系。广东中青研旅行社足迹已经遍布新加坡、北京、西安、香港、浙江、上海、湖南、桂林、贵州及广东省内多地，已合作学校包含华南师范大学、东莞理工学院、南方科技大学、广州中医药大学、华南师范大学附属中学、深圳中学、东莞一中、东莞中学、东莞塘厦初级中学、华南师范大学附属广州大学城小学等100余所，涵盖大学、中学、小学。</w:t>
            </w:r>
          </w:p>
          <w:p w14:paraId="2A6ECAC9">
            <w:pPr>
              <w:keepNext w:val="0"/>
              <w:keepLines w:val="0"/>
              <w:widowControl/>
              <w:suppressLineNumbers w:val="0"/>
              <w:spacing w:line="21" w:lineRule="atLeast"/>
              <w:ind w:left="0" w:firstLine="0"/>
              <w:jc w:val="left"/>
              <w:rPr>
                <w:rFonts w:hint="eastAsia" w:ascii="Calibri" w:eastAsia="宋体" w:hAnsiTheme="minorHAnsi" w:cstheme="minorBidi"/>
                <w:color w:val="000000" w:themeColor="text1"/>
                <w:kern w:val="0"/>
                <w:sz w:val="24"/>
                <w:szCs w:val="24"/>
                <w:lang w:val="en-US" w:eastAsia="zh-CN" w:bidi="ar"/>
                <w14:textFill>
                  <w14:solidFill>
                    <w14:schemeClr w14:val="tx1"/>
                  </w14:solidFill>
                </w14:textFill>
              </w:rPr>
            </w:pPr>
          </w:p>
          <w:p w14:paraId="65CB7B06">
            <w:pPr>
              <w:keepNext w:val="0"/>
              <w:keepLines w:val="0"/>
              <w:widowControl/>
              <w:suppressLineNumbers w:val="0"/>
              <w:spacing w:line="21" w:lineRule="atLeast"/>
              <w:ind w:left="0" w:firstLine="0"/>
              <w:jc w:val="left"/>
              <w:rPr>
                <w:rFonts w:hint="default" w:ascii="Calibri" w:eastAsia="宋体" w:hAnsiTheme="minorHAnsi" w:cstheme="minorBidi"/>
                <w:color w:val="000000" w:themeColor="text1"/>
                <w:kern w:val="0"/>
                <w:sz w:val="24"/>
                <w:szCs w:val="24"/>
                <w:lang w:val="en-US" w:eastAsia="zh-CN" w:bidi="ar"/>
                <w14:textFill>
                  <w14:solidFill>
                    <w14:schemeClr w14:val="tx1"/>
                  </w14:solidFill>
                </w14:textFill>
              </w:rPr>
            </w:pPr>
            <w:r>
              <w:rPr>
                <w:rFonts w:hint="default" w:ascii="Calibri" w:eastAsia="宋体" w:hAnsiTheme="minorHAnsi" w:cstheme="minorBidi"/>
                <w:b/>
                <w:bCs/>
                <w:color w:val="000000" w:themeColor="text1"/>
                <w:kern w:val="0"/>
                <w:sz w:val="24"/>
                <w:szCs w:val="24"/>
                <w:lang w:val="en-US" w:eastAsia="zh-CN" w:bidi="ar"/>
                <w14:textFill>
                  <w14:solidFill>
                    <w14:schemeClr w14:val="tx1"/>
                  </w14:solidFill>
                </w14:textFill>
              </w:rPr>
              <w:t>服务能力：</w:t>
            </w:r>
            <w:r>
              <w:rPr>
                <w:rFonts w:hint="default" w:ascii="Calibri" w:eastAsia="宋体" w:hAnsiTheme="minorHAnsi" w:cstheme="minorBidi"/>
                <w:color w:val="000000" w:themeColor="text1"/>
                <w:kern w:val="0"/>
                <w:sz w:val="24"/>
                <w:szCs w:val="24"/>
                <w:lang w:val="en-US" w:eastAsia="zh-CN" w:bidi="ar"/>
                <w14:textFill>
                  <w14:solidFill>
                    <w14:schemeClr w14:val="tx1"/>
                  </w14:solidFill>
                </w14:textFill>
              </w:rPr>
              <w:t>研学产业链齐覆盖，参与制定地级市研学服务规范，服务政府全域研学规划，培训研学导师1000余名，研发研学课程500余套，服务学校超100家。</w:t>
            </w:r>
          </w:p>
          <w:p w14:paraId="701EEDA6">
            <w:pPr>
              <w:keepNext w:val="0"/>
              <w:keepLines w:val="0"/>
              <w:widowControl/>
              <w:suppressLineNumbers w:val="0"/>
              <w:spacing w:line="21" w:lineRule="atLeast"/>
              <w:ind w:left="0" w:firstLine="0"/>
              <w:jc w:val="left"/>
              <w:rPr>
                <w:rFonts w:hint="default" w:ascii="Calibri" w:eastAsia="宋体" w:hAnsiTheme="minorHAnsi" w:cstheme="minorBidi"/>
                <w:color w:val="000000" w:themeColor="text1"/>
                <w:kern w:val="0"/>
                <w:sz w:val="24"/>
                <w:szCs w:val="24"/>
                <w:lang w:val="en-US" w:eastAsia="zh-CN" w:bidi="ar"/>
                <w14:textFill>
                  <w14:solidFill>
                    <w14:schemeClr w14:val="tx1"/>
                  </w14:solidFill>
                </w14:textFill>
              </w:rPr>
            </w:pPr>
          </w:p>
          <w:p w14:paraId="61D2F097">
            <w:pPr>
              <w:keepNext w:val="0"/>
              <w:keepLines w:val="0"/>
              <w:widowControl/>
              <w:suppressLineNumbers w:val="0"/>
              <w:spacing w:line="21" w:lineRule="atLeast"/>
              <w:ind w:left="0" w:firstLine="0"/>
              <w:jc w:val="left"/>
              <w:rPr>
                <w:rFonts w:hint="default" w:ascii="Calibri" w:eastAsia="宋体" w:hAnsiTheme="minorHAnsi" w:cstheme="minorBidi"/>
                <w:color w:val="000000" w:themeColor="text1"/>
                <w:kern w:val="0"/>
                <w:sz w:val="24"/>
                <w:szCs w:val="24"/>
                <w:lang w:val="en-US" w:eastAsia="zh-CN" w:bidi="ar"/>
                <w14:textFill>
                  <w14:solidFill>
                    <w14:schemeClr w14:val="tx1"/>
                  </w14:solidFill>
                </w14:textFill>
              </w:rPr>
            </w:pPr>
            <w:r>
              <w:rPr>
                <w:rFonts w:hint="default" w:ascii="Calibri" w:eastAsia="宋体" w:hAnsiTheme="minorHAnsi" w:cstheme="minorBidi"/>
                <w:b/>
                <w:bCs/>
                <w:color w:val="000000" w:themeColor="text1"/>
                <w:kern w:val="0"/>
                <w:sz w:val="24"/>
                <w:szCs w:val="24"/>
                <w:lang w:val="en-US" w:eastAsia="zh-CN" w:bidi="ar"/>
                <w14:textFill>
                  <w14:solidFill>
                    <w14:schemeClr w14:val="tx1"/>
                  </w14:solidFill>
                </w14:textFill>
              </w:rPr>
              <w:t>经营记录：</w:t>
            </w:r>
            <w:r>
              <w:rPr>
                <w:rFonts w:hint="default" w:ascii="Calibri" w:eastAsia="宋体" w:hAnsiTheme="minorHAnsi" w:cstheme="minorBidi"/>
                <w:color w:val="000000" w:themeColor="text1"/>
                <w:kern w:val="0"/>
                <w:sz w:val="24"/>
                <w:szCs w:val="24"/>
                <w:lang w:val="en-US" w:eastAsia="zh-CN" w:bidi="ar"/>
                <w14:textFill>
                  <w14:solidFill>
                    <w14:schemeClr w14:val="tx1"/>
                  </w14:solidFill>
                </w14:textFill>
              </w:rPr>
              <w:t>曾承接华南师范大学附属广州大学城小学研学项目，服务人数1200人；东莞市袁崇焕阳光小学研学项目，服务人数1500人；阳江市江城星鹏中英文学校，服务人数1225人；华南师范大学附属花都学校研学项目，服务人数2500人等等。</w:t>
            </w:r>
          </w:p>
          <w:p w14:paraId="583704FF">
            <w:pPr>
              <w:keepNext w:val="0"/>
              <w:keepLines w:val="0"/>
              <w:widowControl/>
              <w:suppressLineNumbers w:val="0"/>
              <w:spacing w:line="21" w:lineRule="atLeast"/>
              <w:ind w:left="0" w:firstLine="0"/>
              <w:jc w:val="left"/>
              <w:rPr>
                <w:rFonts w:hint="default" w:ascii="Calibri" w:eastAsia="宋体" w:hAnsiTheme="minorHAnsi" w:cstheme="minorBidi"/>
                <w:color w:val="000000" w:themeColor="text1"/>
                <w:kern w:val="0"/>
                <w:sz w:val="24"/>
                <w:szCs w:val="24"/>
                <w:lang w:val="en-US" w:eastAsia="zh-CN" w:bidi="ar"/>
                <w14:textFill>
                  <w14:solidFill>
                    <w14:schemeClr w14:val="tx1"/>
                  </w14:solidFill>
                </w14:textFill>
              </w:rPr>
            </w:pPr>
          </w:p>
          <w:p w14:paraId="60BB7D9B">
            <w:pPr>
              <w:keepNext w:val="0"/>
              <w:keepLines w:val="0"/>
              <w:widowControl/>
              <w:suppressLineNumbers w:val="0"/>
              <w:spacing w:line="21" w:lineRule="atLeast"/>
              <w:ind w:left="0" w:firstLine="0"/>
              <w:jc w:val="left"/>
              <w:rPr>
                <w:rFonts w:ascii="Calibri" w:eastAsia="宋体"/>
                <w:color w:val="FF0000"/>
                <w:sz w:val="24"/>
              </w:rPr>
            </w:pPr>
            <w:r>
              <w:rPr>
                <w:rFonts w:hint="default" w:ascii="Calibri" w:eastAsia="宋体" w:hAnsiTheme="minorHAnsi" w:cstheme="minorBidi"/>
                <w:b/>
                <w:bCs/>
                <w:color w:val="000000" w:themeColor="text1"/>
                <w:kern w:val="0"/>
                <w:sz w:val="24"/>
                <w:szCs w:val="24"/>
                <w:lang w:val="en-US" w:eastAsia="zh-CN" w:bidi="ar"/>
                <w14:textFill>
                  <w14:solidFill>
                    <w14:schemeClr w14:val="tx1"/>
                  </w14:solidFill>
                </w14:textFill>
              </w:rPr>
              <w:t>收费标准：</w:t>
            </w:r>
            <w:r>
              <w:rPr>
                <w:rFonts w:hint="default" w:ascii="Calibri" w:eastAsia="宋体" w:hAnsiTheme="minorHAnsi" w:cstheme="minorBidi"/>
                <w:color w:val="000000" w:themeColor="text1"/>
                <w:kern w:val="0"/>
                <w:sz w:val="24"/>
                <w:szCs w:val="24"/>
                <w:lang w:val="en-US" w:eastAsia="zh-CN" w:bidi="ar"/>
                <w14:textFill>
                  <w14:solidFill>
                    <w14:schemeClr w14:val="tx1"/>
                  </w14:solidFill>
                </w14:textFill>
              </w:rPr>
              <w:t>一天研学145元/人起（多条线路，多种价格）。</w:t>
            </w:r>
          </w:p>
        </w:tc>
      </w:tr>
    </w:tbl>
    <w:p w14:paraId="24D99F4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rStyle w:val="5"/>
          <w:rFonts w:hint="eastAsia" w:ascii="微软雅黑" w:hAnsi="微软雅黑" w:eastAsia="微软雅黑" w:cs="微软雅黑"/>
          <w:i w:val="0"/>
          <w:iCs w:val="0"/>
          <w:caps w:val="0"/>
          <w:color w:val="424242"/>
          <w:spacing w:val="0"/>
          <w:sz w:val="27"/>
          <w:szCs w:val="27"/>
          <w:shd w:val="clear" w:fill="FFFFFF"/>
        </w:rPr>
      </w:pPr>
    </w:p>
    <w:p w14:paraId="703DD95E">
      <w:pPr>
        <w:rPr>
          <w:color w:val="FF0000"/>
        </w:rPr>
      </w:pPr>
    </w:p>
    <w:p w14:paraId="13DA22A2"/>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CAF2098"/>
    <w:rsid w:val="0CAF2098"/>
    <w:rsid w:val="281B6B2F"/>
    <w:rsid w:val="73B82A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2253</Words>
  <Characters>2427</Characters>
  <Lines>0</Lines>
  <Paragraphs>0</Paragraphs>
  <TotalTime>4</TotalTime>
  <ScaleCrop>false</ScaleCrop>
  <LinksUpToDate>false</LinksUpToDate>
  <CharactersWithSpaces>2442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2026-08-21T08:15:00Z</dcterms:created>
  <dc:creator>海阔天空</dc:creator>
  <cp:lastModifiedBy>海阔天空</cp:lastModifiedBy>
  <dcterms:modified xsi:type="dcterms:W3CDTF">2026-08-22T03:16:36Z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302223C82C134743B0F33619C0A7D54A_11</vt:lpwstr>
  </property>
  <property fmtid="{D5CDD505-2E9C-101B-9397-08002B2CF9AE}" pid="4" name="KSOTemplateDocerSaveRecord">
    <vt:lpwstr>eyJoZGlkIjoiY2Q1NWE2NDJiODEzM2VhMGI5YTg0MTEzNmQzZGQzOTgiLCJ1c2VySWQiOiI3NzQxMzg2OTIifQ==</vt:lpwstr>
  </property>
</Properties>
</file>