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  <w:szCs w:val="24"/>
        </w:rPr>
      </w:pPr>
      <w:bookmarkStart w:id="0" w:name="_GoBack"/>
      <w:r>
        <w:rPr>
          <w:rFonts w:hint="eastAsia" w:ascii="宋体" w:hAnsi="宋体" w:cs="黑体"/>
          <w:b/>
          <w:bCs/>
          <w:sz w:val="44"/>
          <w:szCs w:val="32"/>
          <w:lang w:eastAsia="zh-CN"/>
        </w:rPr>
        <w:t>云城区应急管理局随机</w:t>
      </w:r>
      <w:r>
        <w:rPr>
          <w:rFonts w:hint="eastAsia" w:ascii="宋体" w:hAnsi="宋体" w:eastAsia="宋体" w:cs="黑体"/>
          <w:b/>
          <w:bCs/>
          <w:sz w:val="44"/>
          <w:szCs w:val="32"/>
          <w:lang w:eastAsia="zh-CN"/>
        </w:rPr>
        <w:t>抽查</w:t>
      </w:r>
      <w:r>
        <w:rPr>
          <w:rFonts w:hint="eastAsia" w:ascii="宋体" w:hAnsi="宋体" w:eastAsia="宋体" w:cs="黑体"/>
          <w:b/>
          <w:bCs/>
          <w:sz w:val="44"/>
          <w:szCs w:val="32"/>
        </w:rPr>
        <w:t>事项清单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tbl>
      <w:tblPr>
        <w:tblStyle w:val="2"/>
        <w:tblW w:w="8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5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随机抽查事项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法律依据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事故隐患排查治理情况:如实记录事故隐患排查治理情况并向从业人员通报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从业人员安全生产教育培训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《中华人民共和国安全生产法》第十一条、第二十五条、第二十六条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采取措施消除事故隐患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重大事故隐患整改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《中华人民共和国安全生产法》第十八条、第三十八条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重大事故隐患报告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《中华人民共和国安全生产法》第三十八条、第四十三条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高危行业生产经营单位设置机构、配备专职人员；其他生产经营单位设置机构、配备专兼职人员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《中华人民共和国安全生产法》第二十一条、第三十六条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安全投入保障情况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资金投入保障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《中华人民共和国安全生产法》第十八条、第二十条 、第四十四条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危险场所与员工宿舍安全距离及安全出口管理情况:生产经营场所和员工宿舍安全出口符合疏散要求，禁止锁闭、封堵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危险化学品经营许可证情况:伪造、变造或者出租、出借、转让经营许可证，或者使用伪造、变造的经营许可证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安全警示标志情况:在有较大危险因素的场所和有关设施、设备上设置安全警示标志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事故隐患排查治理情况:如实记录事故隐患排查治理情况并向从业人员通报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从业人员安全生产教育和培训情况:从业人员安全生产教育培训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《中华人民共和国安全生产法》第十一条、第二十五条、第二十六条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主要负责人履行职责情况:生产经营单位的主要负责人履行对本单位安全生产工作法定职责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从业人员安全生产教育和培训情况:告知从业人员安全生产事项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《中华人民共和国安全生产法》第二十五条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从业人员安全生产教育和培训情况:主要负责人和安全管理人员安全生产知识和管理能力及考核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《中华人民共和国安全生产法》第二十二条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事故隐患排查治理情况:建立健全生产安全事故隐患排查治理制度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危险场所与员工宿舍安全距离及安全出口管理情况:危险物品场所与员工宿舍不在同一建筑物且保持安全距离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《中华人民共和国安全生产法》第三十九条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安全生产管理机构人员设置配备及规章制度制定与执行情况:高危行业生产经营单位设置机构、配备专职人员；其他生产经营单位设置机构、配备专兼职人员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《中华人民共和国安全生产法》第二十一条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危险化学品经营许可证情况:经营许可证取得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应急预案的制定及实施情况:主要负责人组织制定并实施本单位事故应急救援预案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安全生产管理机构人员设置配备及规章制度制定与执行情况:危险物品生产经营单位建立专门的安全管理制度，采取可靠的安全措施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生产经营项目、场所、设备发包、出租管理情况:安全管理协议和发包方统一协调管理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《中华人民共和国安全生产法》第四十六条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危险化学品经营许可证情况:伪造、变造或者出租、出借、转让经营许可证，或者使用伪造、变造的经营许可证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应急预案的制定及实施情况:主要负责人组织制定并实施本单位事故应急救援预案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主要负责人履行职责情况:生产经营单位的主要负责人履行对本单位安全生产工作法定职责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从业人员安全生产教育和培训情况:主要负责人和安全管理人员安全生产知识和管理能力及考核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《中华人民共和国安全生产法》第二十二条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危险化学品经营许可证情况:经营许可证变更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危险化学品经营许可证情况:经营许可证取得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危险化学品经营许可证情况:经营许可证延期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安全生产管理机构人员设置配备及规章制度制定与执行情况:危险物品生产经营单位建立专门的安全管理制度，采取可靠的安全措施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《中华人民共和国安全生产法》第三十六条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41F5"/>
    <w:rsid w:val="1D1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2020-10-30T03:20:00Z</dcterms:created>
  <dc:creator>大自在天</dc:creator>
  <cp:lastModifiedBy>大自在天</cp:lastModifiedBy>
  <dcterms:modified xsi:type="dcterms:W3CDTF">2020-10-30T03:25:16Z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