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 w:cs="Times New Roman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</w:rPr>
        <w:t>云城区农业</w:t>
      </w:r>
      <w:r>
        <w:rPr>
          <w:rFonts w:hint="eastAsia" w:ascii="黑体" w:eastAsia="黑体" w:cs="黑体"/>
          <w:sz w:val="36"/>
          <w:szCs w:val="36"/>
          <w:lang w:eastAsia="zh-CN"/>
        </w:rPr>
        <w:t>农村和水务</w:t>
      </w:r>
      <w:r>
        <w:rPr>
          <w:rFonts w:hint="eastAsia" w:ascii="黑体" w:eastAsia="黑体" w:cs="黑体"/>
          <w:sz w:val="36"/>
          <w:szCs w:val="36"/>
        </w:rPr>
        <w:t>局随机抽查事项清单</w:t>
      </w:r>
    </w:p>
    <w:p>
      <w:pPr>
        <w:jc w:val="center"/>
        <w:rPr>
          <w:rFonts w:ascii="黑体" w:eastAsia="黑体" w:cs="Times New Roman"/>
          <w:sz w:val="36"/>
          <w:szCs w:val="36"/>
        </w:rPr>
      </w:pPr>
    </w:p>
    <w:tbl>
      <w:tblPr>
        <w:tblStyle w:val="6"/>
        <w:tblW w:w="5000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780"/>
        <w:gridCol w:w="6886"/>
        <w:gridCol w:w="1622"/>
        <w:gridCol w:w="1259"/>
        <w:gridCol w:w="1259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6" w:type="pct"/>
            <w:vAlign w:val="center"/>
          </w:tcPr>
          <w:p>
            <w:pPr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 w:cs="黑体"/>
              </w:rPr>
              <w:t>序号</w:t>
            </w:r>
          </w:p>
        </w:tc>
        <w:tc>
          <w:tcPr>
            <w:tcW w:w="628" w:type="pct"/>
            <w:vAlign w:val="center"/>
          </w:tcPr>
          <w:p>
            <w:pPr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 w:cs="黑体"/>
              </w:rPr>
              <w:t>抽查事项名称</w:t>
            </w:r>
          </w:p>
        </w:tc>
        <w:tc>
          <w:tcPr>
            <w:tcW w:w="2429" w:type="pct"/>
            <w:vAlign w:val="center"/>
          </w:tcPr>
          <w:p>
            <w:pPr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 w:cs="黑体"/>
              </w:rPr>
              <w:t>抽查内容</w:t>
            </w: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 w:cs="黑体"/>
              </w:rPr>
              <w:t>抽查依据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 w:cs="黑体"/>
              </w:rPr>
              <w:t>抽查主体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 w:cs="黑体"/>
              </w:rPr>
              <w:t>抽查方式</w:t>
            </w:r>
          </w:p>
        </w:tc>
        <w:tc>
          <w:tcPr>
            <w:tcW w:w="327" w:type="pct"/>
            <w:vAlign w:val="center"/>
          </w:tcPr>
          <w:p>
            <w:pPr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 w:cs="黑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156" w:type="pct"/>
            <w:vAlign w:val="center"/>
          </w:tcPr>
          <w:p>
            <w:pPr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628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农药生产经营监督检查</w:t>
            </w:r>
          </w:p>
        </w:tc>
        <w:tc>
          <w:tcPr>
            <w:tcW w:w="2429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农药经营户是否按要求进行经营，对违反“规定”的行为是否按要求进行整改纠正；农药经营户对经营的产品是否都到区农业部门进行告知，农药安全风险事件是否及时上报，农药药害是否妥善处理。</w:t>
            </w:r>
          </w:p>
        </w:tc>
        <w:tc>
          <w:tcPr>
            <w:tcW w:w="572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《农药管理条例》《农药管理条例实施办法》</w:t>
            </w:r>
          </w:p>
        </w:tc>
        <w:tc>
          <w:tcPr>
            <w:tcW w:w="444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区农</w:t>
            </w:r>
            <w:r>
              <w:rPr>
                <w:rFonts w:hint="eastAsia" w:ascii="仿宋_GB2312" w:eastAsia="仿宋_GB2312" w:cs="仿宋_GB2312"/>
                <w:lang w:eastAsia="zh-CN"/>
              </w:rPr>
              <w:t>水</w:t>
            </w:r>
            <w:r>
              <w:rPr>
                <w:rFonts w:hint="eastAsia" w:ascii="仿宋_GB2312" w:eastAsia="仿宋_GB2312" w:cs="仿宋_GB2312"/>
              </w:rPr>
              <w:t>局</w:t>
            </w:r>
          </w:p>
        </w:tc>
        <w:tc>
          <w:tcPr>
            <w:tcW w:w="444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定期抽查和不定期抽查相结合的方式</w:t>
            </w:r>
          </w:p>
        </w:tc>
        <w:tc>
          <w:tcPr>
            <w:tcW w:w="327" w:type="pct"/>
          </w:tcPr>
          <w:p>
            <w:pPr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8" w:hRule="atLeast"/>
        </w:trPr>
        <w:tc>
          <w:tcPr>
            <w:tcW w:w="156" w:type="pct"/>
            <w:vAlign w:val="center"/>
          </w:tcPr>
          <w:p>
            <w:pPr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2</w:t>
            </w:r>
          </w:p>
        </w:tc>
        <w:tc>
          <w:tcPr>
            <w:tcW w:w="628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kern w:val="0"/>
              </w:rPr>
              <w:t>农作物种子生产经营监督检查</w:t>
            </w:r>
          </w:p>
        </w:tc>
        <w:tc>
          <w:tcPr>
            <w:tcW w:w="2429" w:type="pct"/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eastAsia="仿宋_GB2312" w:cs="Times New Roman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（一）许可资格：许可证是否在有效期内，发生变更是否按规定及时办理变更手续；种子生产经营者是否持续具备规定的许可条件，是否超许可范围生产经营；主要检验、加工、包装、仓储等设备设施是否符合许可条件，涉及计量的检验、包装仪器设备检定情况。</w:t>
            </w:r>
          </w:p>
          <w:p>
            <w:pPr>
              <w:spacing w:line="280" w:lineRule="exact"/>
              <w:ind w:firstLine="420" w:firstLineChars="200"/>
              <w:rPr>
                <w:rFonts w:ascii="仿宋_GB2312" w:eastAsia="仿宋_GB2312" w:cs="Times New Roman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（二）质量管理：种子生产经营管理体系运行情况，管理制度、责任制度和操作规程执行情况，使用的法规、规范、标准是否齐全并现行有效，种子生产经营活动记录和技术档案，种子质量事故应急措施和处理预案。</w:t>
            </w:r>
          </w:p>
          <w:p>
            <w:pPr>
              <w:spacing w:line="280" w:lineRule="exact"/>
              <w:ind w:firstLine="420" w:firstLineChars="200"/>
              <w:rPr>
                <w:rFonts w:ascii="仿宋_GB2312" w:eastAsia="仿宋_GB2312" w:cs="Times New Roman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（三）是否能够按照《种子法》的规定生产经营。</w:t>
            </w:r>
          </w:p>
        </w:tc>
        <w:tc>
          <w:tcPr>
            <w:tcW w:w="572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《种子法》《农作物种子生产经营许可管理办法》</w:t>
            </w:r>
          </w:p>
        </w:tc>
        <w:tc>
          <w:tcPr>
            <w:tcW w:w="444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区农</w:t>
            </w:r>
            <w:r>
              <w:rPr>
                <w:rFonts w:hint="eastAsia" w:ascii="仿宋_GB2312" w:eastAsia="仿宋_GB2312" w:cs="仿宋_GB2312"/>
                <w:lang w:eastAsia="zh-CN"/>
              </w:rPr>
              <w:t>水</w:t>
            </w:r>
            <w:r>
              <w:rPr>
                <w:rFonts w:hint="eastAsia" w:ascii="仿宋_GB2312" w:eastAsia="仿宋_GB2312" w:cs="仿宋_GB2312"/>
              </w:rPr>
              <w:t>局</w:t>
            </w:r>
          </w:p>
        </w:tc>
        <w:tc>
          <w:tcPr>
            <w:tcW w:w="444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定期抽查和不定期抽查相结合的方式</w:t>
            </w:r>
          </w:p>
        </w:tc>
        <w:tc>
          <w:tcPr>
            <w:tcW w:w="327" w:type="pct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56" w:type="pct"/>
            <w:vAlign w:val="center"/>
          </w:tcPr>
          <w:p>
            <w:pPr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3</w:t>
            </w:r>
          </w:p>
        </w:tc>
        <w:tc>
          <w:tcPr>
            <w:tcW w:w="628" w:type="pct"/>
            <w:vAlign w:val="center"/>
          </w:tcPr>
          <w:p>
            <w:pPr>
              <w:spacing w:line="600" w:lineRule="exact"/>
              <w:rPr>
                <w:rFonts w:ascii="仿宋_GB2312" w:hAnsi="华文中宋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kern w:val="0"/>
              </w:rPr>
              <w:t>肥料生产经营监督管理</w:t>
            </w:r>
          </w:p>
          <w:p>
            <w:pPr>
              <w:rPr>
                <w:rFonts w:ascii="仿宋_GB2312" w:hAnsi="华文中宋" w:eastAsia="仿宋_GB2312" w:cs="Times New Roman"/>
                <w:color w:val="000000"/>
              </w:rPr>
            </w:pPr>
          </w:p>
        </w:tc>
        <w:tc>
          <w:tcPr>
            <w:tcW w:w="2429" w:type="pct"/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eastAsia="仿宋_GB2312" w:cs="Times New Roman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生产、销售未取得登记证的肥料产品；假冒、伪造肥料登记证、登记证号的；生产、销售的肥料产品有效成分或含量与登记批准的内容不符的；转让肥料登记证或登记证号的；登记证有效期满未经批准续展登记而继续生产该肥料产品的；生产、销售包装上未附标签、标签残缺不清或者擅自修改标签内容的。</w:t>
            </w:r>
          </w:p>
        </w:tc>
        <w:tc>
          <w:tcPr>
            <w:tcW w:w="572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《肥料登记管理办法》</w:t>
            </w:r>
          </w:p>
        </w:tc>
        <w:tc>
          <w:tcPr>
            <w:tcW w:w="444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区农</w:t>
            </w:r>
            <w:r>
              <w:rPr>
                <w:rFonts w:hint="eastAsia" w:ascii="仿宋_GB2312" w:eastAsia="仿宋_GB2312" w:cs="仿宋_GB2312"/>
                <w:lang w:eastAsia="zh-CN"/>
              </w:rPr>
              <w:t>水</w:t>
            </w:r>
            <w:r>
              <w:rPr>
                <w:rFonts w:hint="eastAsia" w:ascii="仿宋_GB2312" w:eastAsia="仿宋_GB2312" w:cs="仿宋_GB2312"/>
              </w:rPr>
              <w:t>局</w:t>
            </w:r>
          </w:p>
        </w:tc>
        <w:tc>
          <w:tcPr>
            <w:tcW w:w="444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定期抽查和不定期抽查相结合的方式</w:t>
            </w:r>
          </w:p>
        </w:tc>
        <w:tc>
          <w:tcPr>
            <w:tcW w:w="327" w:type="pct"/>
          </w:tcPr>
          <w:p>
            <w:pPr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664"/>
        <w:gridCol w:w="2483"/>
        <w:gridCol w:w="4499"/>
        <w:gridCol w:w="1982"/>
        <w:gridCol w:w="1834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5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事项名称</w:t>
            </w:r>
          </w:p>
        </w:tc>
        <w:tc>
          <w:tcPr>
            <w:tcW w:w="876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抽查内容</w:t>
            </w:r>
          </w:p>
        </w:tc>
        <w:tc>
          <w:tcPr>
            <w:tcW w:w="15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抽查依据</w:t>
            </w:r>
          </w:p>
        </w:tc>
        <w:tc>
          <w:tcPr>
            <w:tcW w:w="69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抽查主体</w:t>
            </w:r>
          </w:p>
        </w:tc>
        <w:tc>
          <w:tcPr>
            <w:tcW w:w="64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抽查方式</w:t>
            </w:r>
          </w:p>
        </w:tc>
        <w:tc>
          <w:tcPr>
            <w:tcW w:w="341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6" w:hRule="atLeast"/>
          <w:jc w:val="center"/>
        </w:trPr>
        <w:tc>
          <w:tcPr>
            <w:tcW w:w="26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587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植物检疫</w:t>
            </w:r>
          </w:p>
        </w:tc>
        <w:tc>
          <w:tcPr>
            <w:tcW w:w="876" w:type="pct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植物检疫对象</w:t>
            </w:r>
          </w:p>
        </w:tc>
        <w:tc>
          <w:tcPr>
            <w:tcW w:w="1587" w:type="pct"/>
            <w:vAlign w:val="center"/>
          </w:tcPr>
          <w:p>
            <w:pPr>
              <w:pStyle w:val="5"/>
              <w:jc w:val="both"/>
              <w:rPr>
                <w:rFonts w:ascii="仿宋_GB2312" w:hAnsi="Verdana" w:eastAsia="仿宋_GB2312" w:cs="Times New Roman"/>
                <w:color w:val="363636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Verdana" w:eastAsia="仿宋_GB2312" w:cs="仿宋_GB2312"/>
                <w:color w:val="363636"/>
                <w:sz w:val="21"/>
                <w:szCs w:val="21"/>
              </w:rPr>
              <w:t>根据</w:t>
            </w:r>
            <w:r>
              <w:rPr>
                <w:rFonts w:ascii="仿宋_GB2312" w:hAnsi="Verdana" w:eastAsia="仿宋_GB2312" w:cs="仿宋_GB2312"/>
                <w:color w:val="363636"/>
                <w:sz w:val="21"/>
                <w:szCs w:val="21"/>
              </w:rPr>
              <w:t>1992</w:t>
            </w:r>
            <w:r>
              <w:rPr>
                <w:rFonts w:hint="eastAsia" w:ascii="仿宋_GB2312" w:hAnsi="Verdana" w:eastAsia="仿宋_GB2312" w:cs="仿宋_GB2312"/>
                <w:color w:val="363636"/>
                <w:sz w:val="21"/>
                <w:szCs w:val="21"/>
              </w:rPr>
              <w:t>年</w:t>
            </w:r>
            <w:r>
              <w:rPr>
                <w:rFonts w:ascii="仿宋_GB2312" w:hAnsi="Verdana" w:eastAsia="仿宋_GB2312" w:cs="仿宋_GB2312"/>
                <w:color w:val="363636"/>
                <w:sz w:val="21"/>
                <w:szCs w:val="21"/>
              </w:rPr>
              <w:t>5</w:t>
            </w:r>
            <w:r>
              <w:rPr>
                <w:rFonts w:hint="eastAsia" w:ascii="仿宋_GB2312" w:hAnsi="Verdana" w:eastAsia="仿宋_GB2312" w:cs="仿宋_GB2312"/>
                <w:color w:val="363636"/>
                <w:sz w:val="21"/>
                <w:szCs w:val="21"/>
              </w:rPr>
              <w:t>月</w:t>
            </w:r>
            <w:r>
              <w:rPr>
                <w:rFonts w:ascii="仿宋_GB2312" w:hAnsi="Verdana" w:eastAsia="仿宋_GB2312" w:cs="仿宋_GB2312"/>
                <w:color w:val="363636"/>
                <w:sz w:val="21"/>
                <w:szCs w:val="21"/>
              </w:rPr>
              <w:t>13</w:t>
            </w:r>
            <w:r>
              <w:rPr>
                <w:rFonts w:hint="eastAsia" w:ascii="仿宋_GB2312" w:hAnsi="Verdana" w:eastAsia="仿宋_GB2312" w:cs="仿宋_GB2312"/>
                <w:color w:val="363636"/>
                <w:sz w:val="21"/>
                <w:szCs w:val="21"/>
              </w:rPr>
              <w:t>日《国务院关于修改</w:t>
            </w:r>
            <w:r>
              <w:rPr>
                <w:rFonts w:ascii="仿宋_GB2312" w:hAnsi="Verdana" w:eastAsia="仿宋_GB2312" w:cs="仿宋_GB2312"/>
                <w:color w:val="363636"/>
                <w:sz w:val="21"/>
                <w:szCs w:val="21"/>
              </w:rPr>
              <w:t>&lt;</w:t>
            </w:r>
            <w:r>
              <w:rPr>
                <w:rFonts w:hint="eastAsia" w:ascii="仿宋_GB2312" w:hAnsi="Verdana" w:eastAsia="仿宋_GB2312" w:cs="仿宋_GB2312"/>
                <w:color w:val="363636"/>
                <w:sz w:val="21"/>
                <w:szCs w:val="21"/>
              </w:rPr>
              <w:t>植物检疫条例</w:t>
            </w:r>
            <w:r>
              <w:rPr>
                <w:rFonts w:ascii="仿宋_GB2312" w:hAnsi="Verdana" w:eastAsia="仿宋_GB2312" w:cs="仿宋_GB2312"/>
                <w:color w:val="363636"/>
                <w:sz w:val="21"/>
                <w:szCs w:val="21"/>
              </w:rPr>
              <w:t>&gt;</w:t>
            </w:r>
            <w:r>
              <w:rPr>
                <w:rFonts w:hint="eastAsia" w:ascii="仿宋_GB2312" w:hAnsi="Verdana" w:eastAsia="仿宋_GB2312" w:cs="仿宋_GB2312"/>
                <w:color w:val="363636"/>
                <w:sz w:val="21"/>
                <w:szCs w:val="21"/>
              </w:rPr>
              <w:t>的决定》第三条</w:t>
            </w:r>
            <w:r>
              <w:rPr>
                <w:rFonts w:ascii="仿宋_GB2312" w:hAnsi="Verdana" w:eastAsia="仿宋_GB2312" w:cs="仿宋_GB2312"/>
                <w:color w:val="36363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Verdana" w:eastAsia="仿宋_GB2312" w:cs="仿宋_GB2312"/>
                <w:color w:val="363636"/>
                <w:sz w:val="21"/>
                <w:szCs w:val="21"/>
              </w:rPr>
              <w:t>县级以上地方各级农业主管部门、林业主管部门所属的植物检疫机构，负责执行国家的植物检疫任务。</w:t>
            </w:r>
          </w:p>
          <w:p>
            <w:pPr>
              <w:spacing w:line="30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699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647" w:type="pct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定期抽查和不定期抽查相结合的方式</w:t>
            </w:r>
          </w:p>
        </w:tc>
        <w:tc>
          <w:tcPr>
            <w:tcW w:w="341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FD"/>
    <w:rsid w:val="00154B00"/>
    <w:rsid w:val="00161B1A"/>
    <w:rsid w:val="00175344"/>
    <w:rsid w:val="001A4706"/>
    <w:rsid w:val="002534BA"/>
    <w:rsid w:val="002705FD"/>
    <w:rsid w:val="00271420"/>
    <w:rsid w:val="002A5C7D"/>
    <w:rsid w:val="002E7D84"/>
    <w:rsid w:val="003471F2"/>
    <w:rsid w:val="00356082"/>
    <w:rsid w:val="003D5A5E"/>
    <w:rsid w:val="00427F4D"/>
    <w:rsid w:val="00492940"/>
    <w:rsid w:val="0059219D"/>
    <w:rsid w:val="005D70A3"/>
    <w:rsid w:val="005E5A43"/>
    <w:rsid w:val="00696BA0"/>
    <w:rsid w:val="006E7972"/>
    <w:rsid w:val="006F74B4"/>
    <w:rsid w:val="00745C8C"/>
    <w:rsid w:val="008622AC"/>
    <w:rsid w:val="008A6A73"/>
    <w:rsid w:val="009146CB"/>
    <w:rsid w:val="009C4F01"/>
    <w:rsid w:val="009E62D1"/>
    <w:rsid w:val="00B00FCB"/>
    <w:rsid w:val="00B91BFF"/>
    <w:rsid w:val="00C95C2E"/>
    <w:rsid w:val="00D25E03"/>
    <w:rsid w:val="00D97A27"/>
    <w:rsid w:val="00EB0821"/>
    <w:rsid w:val="00EE2B8A"/>
    <w:rsid w:val="00F11ED5"/>
    <w:rsid w:val="00F237B7"/>
    <w:rsid w:val="00F8207B"/>
    <w:rsid w:val="7934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ing 3 Char"/>
    <w:basedOn w:val="7"/>
    <w:link w:val="2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Header Char"/>
    <w:basedOn w:val="7"/>
    <w:link w:val="4"/>
    <w:semiHidden/>
    <w:qFormat/>
    <w:locked/>
    <w:uiPriority w:val="99"/>
    <w:rPr>
      <w:rFonts w:cs="Calibri"/>
      <w:sz w:val="18"/>
      <w:szCs w:val="18"/>
    </w:rPr>
  </w:style>
  <w:style w:type="character" w:customStyle="1" w:styleId="10">
    <w:name w:val="Footer Char"/>
    <w:basedOn w:val="7"/>
    <w:link w:val="3"/>
    <w:semiHidden/>
    <w:qFormat/>
    <w:locked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BGS</Company>
  <Pages>2</Pages>
  <Words>125</Words>
  <Characters>716</Characters>
  <Lines>0</Lines>
  <Paragraphs>0</Paragraphs>
  <TotalTime>11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2016-10-31T15:37:00Z</dcterms:created>
  <dc:creator>Administrator</dc:creator>
  <cp:lastModifiedBy>杨惠卉</cp:lastModifiedBy>
  <cp:lastPrinted>2016-03-03T08:54:00Z</cp:lastPrinted>
  <dcterms:modified xsi:type="dcterms:W3CDTF">2021-10-27T15:59:48Z</dcterms:modified>
  <dc:title>潍城区农业局随机抽查事项清单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