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2"/>
          <w:szCs w:val="22"/>
        </w:rPr>
      </w:pPr>
      <w:bookmarkStart w:id="0" w:name="_GoBack"/>
      <w:r>
        <w:rPr>
          <w:rFonts w:hint="eastAsia" w:ascii="宋体" w:hAnsi="宋体" w:cs="黑体"/>
          <w:b/>
          <w:bCs/>
          <w:sz w:val="40"/>
          <w:szCs w:val="28"/>
          <w:lang w:val="en-US" w:eastAsia="zh-CN"/>
        </w:rPr>
        <w:t>2022年</w:t>
      </w:r>
      <w:r>
        <w:rPr>
          <w:rFonts w:hint="eastAsia" w:ascii="宋体" w:hAnsi="宋体" w:cs="黑体"/>
          <w:b/>
          <w:bCs/>
          <w:sz w:val="40"/>
          <w:szCs w:val="28"/>
          <w:lang w:eastAsia="zh-CN"/>
        </w:rPr>
        <w:t>云城区应急管理局随机</w:t>
      </w:r>
      <w:r>
        <w:rPr>
          <w:rFonts w:hint="eastAsia" w:ascii="宋体" w:hAnsi="宋体" w:eastAsia="宋体" w:cs="黑体"/>
          <w:b/>
          <w:bCs/>
          <w:sz w:val="40"/>
          <w:szCs w:val="28"/>
          <w:lang w:eastAsia="zh-CN"/>
        </w:rPr>
        <w:t>抽查</w:t>
      </w:r>
      <w:r>
        <w:rPr>
          <w:rFonts w:hint="eastAsia" w:ascii="宋体" w:hAnsi="宋体" w:eastAsia="宋体" w:cs="黑体"/>
          <w:b/>
          <w:bCs/>
          <w:sz w:val="40"/>
          <w:szCs w:val="28"/>
        </w:rPr>
        <w:t>事项清单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tbl>
      <w:tblPr>
        <w:tblStyle w:val="2"/>
        <w:tblW w:w="8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5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随机抽查事项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法律依据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事故隐患排查治理情况:如实记录事故隐患排查治理情况并向从业人员通报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从业人员安全生产教育培训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《中华人民共和国安全生产法》第十一条、第二十五条、第二十六条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采取措施消除事故隐患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重大事故隐患整改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《中华人民共和国安全生产法》第十八条、第三十八条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重大事故隐患报告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《中华人民共和国安全生产法》第三十八条、第四十三条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高危行业生产经营单位设置机构、配备专职人员；其他生产经营单位设置机构、配备专兼职人员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《中华人民共和国安全生产法》第二十一条、第三十六条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安全投入保障情况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资金投入保障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《中华人民共和国安全生产法》第十八条、第二十条 、第四十四条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危险场所与员工宿舍安全距离及安全出口管理情况:生产经营场所和员工宿舍安全出口符合疏散要求，禁止锁闭、封堵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危险化学品经营许可证情况:伪造、变造或者出租、出借、转让经营许可证，或者使用伪造、变造的经营许可证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安全警示标志情况:在有较大危险因素的场所和有关设施、设备上设置安全警示标志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事故隐患排查治理情况:如实记录事故隐患排查治理情况并向从业人员通报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从业人员安全生产教育和培训情况:从业人员安全生产教育培训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《中华人民共和国安全生产法》第十一条、第二十五条、第二十六条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主要负责人履行职责情况:生产经营单位的主要负责人履行对本单位安全生产工作法定职责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从业人员安全生产教育和培训情况:告知从业人员安全生产事项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《中华人民共和国安全生产法》第二十五条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从业人员安全生产教育和培训情况:主要负责人和安全管理人员安全生产知识和管理能力及考核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《中华人民共和国安全生产法》第二十二条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事故隐患排查治理情况:建立健全生产安全事故隐患排查治理制度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危险场所与员工宿舍安全距离及安全出口管理情况:危险物品场所与员工宿舍不在同一建筑物且保持安全距离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《中华人民共和国安全生产法》第三十九条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安全生产管理机构人员设置配备及规章制度制定与执行情况:高危行业生产经营单位设置机构、配备专职人员；其他生产经营单位设置机构、配备专兼职人员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《中华人民共和国安全生产法》第二十一条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危险化学品经营许可证情况:经营许可证取得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应急预案的制定及实施情况:主要负责人组织制定并实施本单位事故应急救援预案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安全生产管理机构人员设置配备及规章制度制定与执行情况:危险物品生产经营单位建立专门的安全管理制度，采取可靠的安全措施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生产经营项目、场所、设备发包、出租管理情况:安全管理协议和发包方统一协调管理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《中华人民共和国安全生产法》第四十六条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危险化学品经营许可证情况:伪造、变造或者出租、出借、转让经营许可证，或者使用伪造、变造的经营许可证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应急预案的制定及实施情况:主要负责人组织制定并实施本单位事故应急救援预案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主要负责人履行职责情况:生产经营单位的主要负责人履行对本单位安全生产工作法定职责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《中华人民共和国安全生产法》第十八条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从业人员安全生产教育和培训情况:主要负责人和安全管理人员安全生产知识和管理能力及考核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《中华人民共和国安全生产法》第二十二条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危险化学品经营许可证情况:经营许可证变更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危险化学品经营许可证情况:经营许可证取得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《危险化学品安全管理条例》第三十三条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危险化学品经营许可证情况:经营许可证延期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《危险化学品安全使用许可证实施办法》第三条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安全生产管理机构人员设置配备及规章制度制定与执行情况:危险物品生产经营单位建立专门的安全管理制度，采取可靠的安全措施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《中华人民共和国安全生产法》第三十六条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YTRlNWIyOTBkMmRkMWI0MmM3NGI4NzI4YTI1ZTUifQ=="/>
  </w:docVars>
  <w:rsids>
    <w:rsidRoot w:val="1D1D41F5"/>
    <w:rsid w:val="1D1D41F5"/>
    <w:rsid w:val="72BE234B"/>
    <w:rsid w:val="761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1838</Words>
  <Characters>1863</Characters>
  <Lines>0</Lines>
  <Paragraphs>0</Paragraphs>
  <TotalTime>8</TotalTime>
  <ScaleCrop>false</ScaleCrop>
  <LinksUpToDate>false</LinksUpToDate>
  <CharactersWithSpaces>1886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2020-10-30T03:20:00Z</dcterms:created>
  <dc:creator>大自在天</dc:creator>
  <cp:lastModifiedBy>ing</cp:lastModifiedBy>
  <dcterms:modified xsi:type="dcterms:W3CDTF">2022-08-23T01:46:07Z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3C862EED0A284214A60F400B5BD0DA87</vt:lpwstr>
  </property>
</Properties>
</file>