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ind w:firstLine="482"/>
        <w:rPr>
          <w:sz w:val="24"/>
        </w:rPr>
      </w:pPr>
    </w:p>
    <w:p>
      <w:pPr>
        <w:ind w:firstLine="560"/>
      </w:pPr>
    </w:p>
    <w:p>
      <w:pPr>
        <w:ind w:firstLine="560"/>
      </w:pPr>
    </w:p>
    <w:p>
      <w:pPr>
        <w:ind w:firstLine="560"/>
      </w:pPr>
    </w:p>
    <w:p>
      <w:pPr>
        <w:ind w:firstLine="560"/>
      </w:pPr>
    </w:p>
    <w:p>
      <w:pPr>
        <w:spacing w:before="0" w:after="0" w:line="240" w:lineRule="auto"/>
        <w:ind w:firstLine="0" w:firstLineChars="0"/>
        <w:jc w:val="center"/>
        <w:rPr>
          <w:rFonts w:eastAsia="华文中宋"/>
          <w:b/>
          <w:sz w:val="48"/>
          <w:szCs w:val="48"/>
        </w:rPr>
      </w:pPr>
      <w:bookmarkStart w:id="0" w:name="_Toc85526374"/>
      <w:r>
        <w:rPr>
          <w:rFonts w:eastAsia="华文中宋"/>
          <w:b/>
          <w:sz w:val="48"/>
          <w:szCs w:val="48"/>
        </w:rPr>
        <w:t>云浮市</w:t>
      </w:r>
      <w:bookmarkEnd w:id="0"/>
      <w:bookmarkStart w:id="1" w:name="_Toc85526375"/>
      <w:r>
        <w:rPr>
          <w:rFonts w:hint="eastAsia" w:eastAsia="华文中宋"/>
          <w:b/>
          <w:sz w:val="48"/>
          <w:szCs w:val="48"/>
          <w:lang w:eastAsia="zh-CN"/>
        </w:rPr>
        <w:t>云城区2022年度</w:t>
      </w:r>
      <w:r>
        <w:rPr>
          <w:rFonts w:eastAsia="华文中宋"/>
          <w:b/>
          <w:sz w:val="48"/>
          <w:szCs w:val="48"/>
        </w:rPr>
        <w:t>土地征收</w:t>
      </w:r>
    </w:p>
    <w:p>
      <w:pPr>
        <w:spacing w:before="0" w:after="0" w:line="240" w:lineRule="auto"/>
        <w:ind w:firstLine="0" w:firstLineChars="0"/>
        <w:jc w:val="center"/>
        <w:rPr>
          <w:rFonts w:hint="eastAsia" w:eastAsia="华文中宋"/>
          <w:b/>
          <w:sz w:val="48"/>
          <w:szCs w:val="48"/>
        </w:rPr>
      </w:pPr>
      <w:r>
        <w:rPr>
          <w:rFonts w:eastAsia="华文中宋"/>
          <w:b/>
          <w:sz w:val="48"/>
          <w:szCs w:val="48"/>
        </w:rPr>
        <w:t>成片开发方案</w:t>
      </w:r>
      <w:bookmarkEnd w:id="1"/>
    </w:p>
    <w:p>
      <w:pPr>
        <w:spacing w:before="0" w:after="0" w:line="240" w:lineRule="auto"/>
        <w:ind w:firstLine="0" w:firstLineChars="0"/>
        <w:jc w:val="center"/>
        <w:rPr>
          <w:rFonts w:eastAsia="华文中宋"/>
          <w:b/>
          <w:sz w:val="48"/>
          <w:szCs w:val="48"/>
        </w:rPr>
      </w:pPr>
      <w:r>
        <w:rPr>
          <w:rFonts w:eastAsia="华文中宋"/>
          <w:b/>
          <w:sz w:val="48"/>
          <w:szCs w:val="48"/>
        </w:rPr>
        <w:t>（公示草案）</w:t>
      </w:r>
    </w:p>
    <w:p>
      <w:pPr>
        <w:spacing w:before="0" w:after="0" w:line="240" w:lineRule="auto"/>
        <w:ind w:firstLine="0" w:firstLineChars="0"/>
        <w:jc w:val="center"/>
        <w:rPr>
          <w:rFonts w:eastAsia="华文中宋"/>
          <w:b/>
          <w:szCs w:val="28"/>
        </w:rPr>
      </w:pPr>
    </w:p>
    <w:p>
      <w:pPr>
        <w:spacing w:before="0" w:after="0" w:line="240" w:lineRule="auto"/>
        <w:ind w:firstLine="0" w:firstLineChars="0"/>
        <w:jc w:val="center"/>
        <w:rPr>
          <w:rFonts w:eastAsia="华文中宋"/>
          <w:b/>
          <w:szCs w:val="28"/>
        </w:rPr>
      </w:pPr>
    </w:p>
    <w:p>
      <w:pPr>
        <w:spacing w:before="0" w:after="0" w:line="240" w:lineRule="auto"/>
        <w:ind w:firstLine="0" w:firstLineChars="0"/>
        <w:jc w:val="center"/>
        <w:rPr>
          <w:rFonts w:eastAsia="华文中宋"/>
          <w:b/>
          <w:sz w:val="48"/>
          <w:szCs w:val="48"/>
        </w:rPr>
      </w:pPr>
    </w:p>
    <w:p>
      <w:pPr>
        <w:spacing w:before="0" w:after="0" w:line="240" w:lineRule="auto"/>
        <w:ind w:firstLine="0" w:firstLineChars="0"/>
        <w:jc w:val="center"/>
        <w:rPr>
          <w:rFonts w:eastAsia="华文中宋"/>
          <w:b/>
          <w:sz w:val="48"/>
          <w:szCs w:val="48"/>
        </w:rPr>
      </w:pPr>
    </w:p>
    <w:p>
      <w:pPr>
        <w:spacing w:before="0" w:after="0" w:line="240" w:lineRule="auto"/>
        <w:ind w:firstLine="0" w:firstLineChars="0"/>
        <w:jc w:val="center"/>
        <w:rPr>
          <w:rFonts w:eastAsia="华文中宋"/>
          <w:b/>
          <w:sz w:val="48"/>
          <w:szCs w:val="48"/>
        </w:rPr>
      </w:pPr>
    </w:p>
    <w:p>
      <w:pPr>
        <w:spacing w:before="0" w:after="0" w:line="240" w:lineRule="auto"/>
        <w:ind w:firstLine="0" w:firstLineChars="0"/>
        <w:jc w:val="center"/>
        <w:rPr>
          <w:rFonts w:eastAsia="华文中宋"/>
          <w:b/>
          <w:sz w:val="48"/>
          <w:szCs w:val="48"/>
        </w:rPr>
      </w:pPr>
    </w:p>
    <w:p>
      <w:pPr>
        <w:spacing w:before="0" w:after="0" w:line="240" w:lineRule="auto"/>
        <w:ind w:firstLine="0" w:firstLineChars="0"/>
        <w:jc w:val="center"/>
        <w:rPr>
          <w:rFonts w:eastAsia="华文中宋"/>
          <w:b/>
          <w:sz w:val="48"/>
          <w:szCs w:val="48"/>
        </w:rPr>
      </w:pPr>
    </w:p>
    <w:p>
      <w:pPr>
        <w:spacing w:before="0" w:after="0" w:line="240" w:lineRule="auto"/>
        <w:ind w:firstLine="0" w:firstLineChars="0"/>
        <w:jc w:val="center"/>
        <w:rPr>
          <w:rFonts w:eastAsia="华文中宋"/>
          <w:b/>
          <w:sz w:val="48"/>
          <w:szCs w:val="48"/>
        </w:rPr>
      </w:pPr>
    </w:p>
    <w:p>
      <w:pPr>
        <w:pStyle w:val="12"/>
        <w:spacing w:before="78" w:after="78"/>
        <w:ind w:firstLine="560"/>
      </w:pPr>
    </w:p>
    <w:p>
      <w:pPr>
        <w:spacing w:line="480" w:lineRule="auto"/>
        <w:ind w:firstLine="0" w:firstLineChars="0"/>
        <w:jc w:val="center"/>
        <w:rPr>
          <w:sz w:val="32"/>
          <w:szCs w:val="24"/>
        </w:rPr>
      </w:pPr>
      <w:bookmarkStart w:id="2" w:name="_Toc7528"/>
      <w:r>
        <w:rPr>
          <w:sz w:val="32"/>
          <w:szCs w:val="24"/>
        </w:rPr>
        <w:t>云浮市</w:t>
      </w:r>
      <w:r>
        <w:rPr>
          <w:rFonts w:hint="eastAsia"/>
          <w:sz w:val="32"/>
          <w:szCs w:val="24"/>
          <w:lang w:eastAsia="zh-CN"/>
        </w:rPr>
        <w:t>云城区</w:t>
      </w:r>
      <w:r>
        <w:rPr>
          <w:sz w:val="32"/>
          <w:szCs w:val="24"/>
        </w:rPr>
        <w:t>人民政府</w:t>
      </w:r>
      <w:bookmarkEnd w:id="2"/>
    </w:p>
    <w:p>
      <w:pPr>
        <w:spacing w:line="480" w:lineRule="auto"/>
        <w:ind w:firstLine="0" w:firstLineChars="0"/>
        <w:jc w:val="center"/>
        <w:rPr>
          <w:sz w:val="32"/>
          <w:szCs w:val="24"/>
        </w:rPr>
      </w:pPr>
      <w:r>
        <w:rPr>
          <w:sz w:val="32"/>
          <w:szCs w:val="24"/>
        </w:rPr>
        <w:t>2023年4月</w:t>
      </w:r>
    </w:p>
    <w:p>
      <w:pPr>
        <w:ind w:right="280" w:firstLine="0" w:firstLineChars="0"/>
        <w:rPr>
          <w:rFonts w:eastAsia="黑体"/>
          <w:b/>
          <w:bCs/>
          <w:sz w:val="36"/>
          <w:szCs w:val="40"/>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fmt="upperRoman" w:start="1"/>
          <w:cols w:space="720" w:num="1"/>
          <w:titlePg/>
          <w:docGrid w:type="lines" w:linePitch="312" w:charSpace="0"/>
        </w:sectPr>
      </w:pPr>
    </w:p>
    <w:p>
      <w:pPr>
        <w:pStyle w:val="10"/>
        <w:keepNext w:val="0"/>
        <w:keepLines w:val="0"/>
        <w:pageBreakBefore w:val="0"/>
        <w:widowControl/>
        <w:kinsoku/>
        <w:wordWrap/>
        <w:overflowPunct/>
        <w:topLinePunct w:val="0"/>
        <w:autoSpaceDE/>
        <w:autoSpaceDN/>
        <w:bidi w:val="0"/>
        <w:adjustRightInd/>
        <w:snapToGrid/>
        <w:spacing w:after="287" w:afterLines="75"/>
        <w:ind w:left="0"/>
        <w:textAlignment w:val="auto"/>
        <w:rPr>
          <w:rFonts w:ascii="Times New Roman" w:hAnsi="Times New Roman"/>
        </w:rPr>
      </w:pPr>
      <w:bookmarkStart w:id="3" w:name="_Toc69918845"/>
      <w:bookmarkStart w:id="4" w:name="_Toc86266560"/>
      <w:bookmarkStart w:id="5" w:name="_Toc69918884"/>
      <w:bookmarkStart w:id="6" w:name="_Toc87878824"/>
      <w:r>
        <w:rPr>
          <w:rFonts w:ascii="Times New Roman" w:hAnsi="Times New Roman"/>
        </w:rPr>
        <w:t>编制背景</w:t>
      </w:r>
      <w:bookmarkEnd w:id="3"/>
      <w:bookmarkEnd w:id="4"/>
      <w:bookmarkEnd w:id="5"/>
      <w:bookmarkEnd w:id="6"/>
    </w:p>
    <w:p>
      <w:pPr>
        <w:pStyle w:val="12"/>
        <w:spacing w:before="95" w:after="95"/>
        <w:ind w:firstLine="560"/>
        <w:rPr>
          <w:szCs w:val="28"/>
        </w:rPr>
      </w:pPr>
      <w:bookmarkStart w:id="7" w:name="_Toc69918888"/>
      <w:bookmarkStart w:id="8" w:name="_Toc69918849"/>
      <w:r>
        <w:rPr>
          <w:szCs w:val="28"/>
        </w:rPr>
        <w:t>为依法依规做好</w:t>
      </w:r>
      <w:r>
        <w:rPr>
          <w:rFonts w:hint="eastAsia"/>
          <w:szCs w:val="28"/>
          <w:lang w:eastAsia="zh-CN"/>
        </w:rPr>
        <w:t>云城区</w:t>
      </w:r>
      <w:r>
        <w:rPr>
          <w:szCs w:val="28"/>
        </w:rPr>
        <w:t>土地征收报批工作，全力保障《云浮市</w:t>
      </w:r>
      <w:r>
        <w:rPr>
          <w:rFonts w:hint="eastAsia"/>
          <w:szCs w:val="28"/>
          <w:lang w:eastAsia="zh-CN"/>
        </w:rPr>
        <w:t>云城区</w:t>
      </w:r>
      <w:r>
        <w:rPr>
          <w:szCs w:val="28"/>
        </w:rPr>
        <w:t>（含云浮新区）国民经济和社会发展第十四个五年规划和二</w:t>
      </w:r>
      <w:r>
        <w:rPr>
          <w:rFonts w:hint="eastAsia" w:ascii="宋体" w:hAnsi="宋体" w:eastAsia="宋体" w:cs="宋体"/>
          <w:szCs w:val="28"/>
        </w:rPr>
        <w:t>〇</w:t>
      </w:r>
      <w:r>
        <w:rPr>
          <w:rFonts w:hint="eastAsia" w:ascii="仿宋_GB2312" w:hAnsi="仿宋_GB2312" w:cs="仿宋_GB2312"/>
          <w:szCs w:val="28"/>
        </w:rPr>
        <w:t>三五年远景目标纲要》（以下简称《纲要》）重点项目用地需求，</w:t>
      </w:r>
      <w:r>
        <w:rPr>
          <w:rFonts w:hint="eastAsia" w:ascii="仿宋_GB2312" w:hAnsi="仿宋_GB2312" w:cs="仿宋_GB2312"/>
          <w:szCs w:val="28"/>
          <w:lang w:eastAsia="zh-CN"/>
        </w:rPr>
        <w:t>云城区</w:t>
      </w:r>
      <w:r>
        <w:rPr>
          <w:rFonts w:hint="eastAsia" w:ascii="仿宋_GB2312" w:hAnsi="仿宋_GB2312" w:cs="仿宋_GB2312"/>
          <w:szCs w:val="28"/>
        </w:rPr>
        <w:t>积极开展土地征收成片开发的准备工作，依据《中华人民共和国土地管理法》（</w:t>
      </w:r>
      <w:r>
        <w:rPr>
          <w:szCs w:val="28"/>
        </w:rPr>
        <w:t>2020年1月1日施行）（以下简称《土地管理法》）、《土地征收成片开发标准》（以下简称《标准》）、《关于规范土地征收成片开发工作的通知》（粤自然资发〔2021〕20号）（以下简称《通知》）等相关文件，科学合理编制土地征收成片开发方案，助推</w:t>
      </w:r>
      <w:r>
        <w:rPr>
          <w:rFonts w:hint="eastAsia"/>
          <w:szCs w:val="28"/>
          <w:lang w:eastAsia="zh-CN"/>
        </w:rPr>
        <w:t>云城区</w:t>
      </w:r>
      <w:r>
        <w:rPr>
          <w:szCs w:val="28"/>
        </w:rPr>
        <w:t>快速发展。</w:t>
      </w:r>
      <w:bookmarkEnd w:id="7"/>
      <w:bookmarkEnd w:id="8"/>
      <w:r>
        <w:t xml:space="preserve"> </w:t>
      </w:r>
    </w:p>
    <w:p>
      <w:pPr>
        <w:pStyle w:val="10"/>
        <w:keepNext w:val="0"/>
        <w:keepLines w:val="0"/>
        <w:pageBreakBefore w:val="0"/>
        <w:widowControl/>
        <w:kinsoku/>
        <w:wordWrap/>
        <w:overflowPunct/>
        <w:topLinePunct w:val="0"/>
        <w:autoSpaceDE/>
        <w:autoSpaceDN/>
        <w:bidi w:val="0"/>
        <w:adjustRightInd/>
        <w:snapToGrid/>
        <w:spacing w:after="287" w:afterLines="75"/>
        <w:ind w:left="0"/>
        <w:textAlignment w:val="auto"/>
        <w:rPr>
          <w:rFonts w:ascii="Times New Roman" w:hAnsi="Times New Roman"/>
        </w:rPr>
      </w:pPr>
      <w:r>
        <w:rPr>
          <w:rFonts w:ascii="Times New Roman" w:hAnsi="Times New Roman"/>
        </w:rPr>
        <w:t>基本情况</w:t>
      </w:r>
    </w:p>
    <w:p>
      <w:pPr>
        <w:pStyle w:val="12"/>
        <w:spacing w:before="95" w:after="95"/>
        <w:ind w:firstLine="560"/>
        <w:rPr>
          <w:sz w:val="24"/>
        </w:rPr>
      </w:pPr>
      <w:r>
        <w:t>本次土地征收成片开发方案共划定</w:t>
      </w:r>
      <w:r>
        <w:rPr>
          <w:rFonts w:hint="eastAsia"/>
          <w:lang w:val="en-US" w:eastAsia="zh-CN"/>
        </w:rPr>
        <w:t>3</w:t>
      </w:r>
      <w:r>
        <w:t>个片区，总面积</w:t>
      </w:r>
      <w:r>
        <w:rPr>
          <w:rFonts w:hint="default"/>
          <w:lang w:val="en-US" w:eastAsia="zh-CN"/>
        </w:rPr>
        <w:t>179.8304</w:t>
      </w:r>
      <w:r>
        <w:t>公顷，拟实施土地征收成片开发面积</w:t>
      </w:r>
      <w:r>
        <w:rPr>
          <w:rFonts w:hint="default"/>
          <w:lang w:val="en-US" w:eastAsia="zh-CN"/>
        </w:rPr>
        <w:t>134.2308公</w:t>
      </w:r>
      <w:r>
        <w:t>顷，占片区总面积的</w:t>
      </w:r>
      <w:r>
        <w:rPr>
          <w:rFonts w:hint="eastAsia"/>
          <w:lang w:val="en-US" w:eastAsia="zh-CN"/>
        </w:rPr>
        <w:t>74.64</w:t>
      </w:r>
      <w:r>
        <w:t>%。涉及</w:t>
      </w:r>
      <w:r>
        <w:rPr>
          <w:rFonts w:hint="eastAsia"/>
          <w:lang w:eastAsia="zh-CN"/>
        </w:rPr>
        <w:t>云城区安塘街道、思劳镇、腰古镇，</w:t>
      </w:r>
      <w:r>
        <w:t>详见表1。</w:t>
      </w:r>
    </w:p>
    <w:p>
      <w:pPr>
        <w:pStyle w:val="12"/>
        <w:numPr>
          <w:ilvl w:val="0"/>
          <w:numId w:val="2"/>
        </w:numPr>
        <w:spacing w:before="95" w:after="0" w:afterLines="0"/>
        <w:ind w:left="130" w:hanging="130" w:firstLineChars="0"/>
        <w:jc w:val="center"/>
        <w:rPr>
          <w:rFonts w:eastAsia="黑体"/>
          <w:b/>
          <w:sz w:val="24"/>
        </w:rPr>
      </w:pPr>
      <w:r>
        <w:rPr>
          <w:rFonts w:eastAsia="黑体"/>
          <w:b/>
          <w:sz w:val="24"/>
        </w:rPr>
        <w:t>成片开发范围位置与面积情况</w:t>
      </w:r>
    </w:p>
    <w:tbl>
      <w:tblPr>
        <w:tblStyle w:val="7"/>
        <w:tblW w:w="8657"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700"/>
        <w:gridCol w:w="2891"/>
        <w:gridCol w:w="1679"/>
        <w:gridCol w:w="1543"/>
        <w:gridCol w:w="1844"/>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987" w:hRule="atLeast"/>
          <w:tblHeader/>
          <w:jc w:val="center"/>
        </w:trPr>
        <w:tc>
          <w:tcPr>
            <w:tcW w:w="700" w:type="dxa"/>
            <w:tcBorders>
              <w:bottom w:val="single" w:color="auto" w:sz="4" w:space="0"/>
              <w:right w:val="single" w:color="auto" w:sz="4" w:space="0"/>
            </w:tcBorders>
            <w:vAlign w:val="center"/>
          </w:tcPr>
          <w:p>
            <w:pPr>
              <w:widowControl/>
              <w:spacing w:before="0" w:after="0" w:line="240" w:lineRule="auto"/>
              <w:ind w:firstLine="0" w:firstLineChars="0"/>
              <w:jc w:val="center"/>
              <w:rPr>
                <w:b/>
                <w:bCs/>
                <w:color w:val="000000"/>
                <w:kern w:val="0"/>
                <w:sz w:val="24"/>
                <w:szCs w:val="24"/>
              </w:rPr>
            </w:pPr>
            <w:r>
              <w:rPr>
                <w:b/>
                <w:bCs/>
                <w:color w:val="000000"/>
                <w:kern w:val="0"/>
                <w:sz w:val="24"/>
                <w:szCs w:val="24"/>
              </w:rPr>
              <w:t>序号</w:t>
            </w:r>
          </w:p>
        </w:tc>
        <w:tc>
          <w:tcPr>
            <w:tcW w:w="2891" w:type="dxa"/>
            <w:tcBorders>
              <w:left w:val="single" w:color="auto" w:sz="4" w:space="0"/>
              <w:bottom w:val="single" w:color="auto" w:sz="4" w:space="0"/>
              <w:right w:val="single" w:color="auto" w:sz="4" w:space="0"/>
            </w:tcBorders>
            <w:vAlign w:val="center"/>
          </w:tcPr>
          <w:p>
            <w:pPr>
              <w:widowControl/>
              <w:spacing w:before="0" w:after="0" w:line="240" w:lineRule="auto"/>
              <w:ind w:firstLine="0" w:firstLineChars="0"/>
              <w:jc w:val="center"/>
              <w:rPr>
                <w:b/>
                <w:bCs/>
                <w:color w:val="000000"/>
                <w:kern w:val="0"/>
                <w:sz w:val="24"/>
                <w:szCs w:val="24"/>
              </w:rPr>
            </w:pPr>
            <w:r>
              <w:rPr>
                <w:b/>
                <w:bCs/>
                <w:color w:val="000000"/>
                <w:kern w:val="0"/>
                <w:sz w:val="24"/>
                <w:szCs w:val="24"/>
              </w:rPr>
              <w:t>片区名称</w:t>
            </w:r>
          </w:p>
        </w:tc>
        <w:tc>
          <w:tcPr>
            <w:tcW w:w="1679" w:type="dxa"/>
            <w:tcBorders>
              <w:left w:val="single" w:color="auto" w:sz="4" w:space="0"/>
              <w:bottom w:val="single" w:color="auto" w:sz="4" w:space="0"/>
              <w:right w:val="single" w:color="auto" w:sz="4" w:space="0"/>
            </w:tcBorders>
            <w:vAlign w:val="center"/>
          </w:tcPr>
          <w:p>
            <w:pPr>
              <w:widowControl/>
              <w:spacing w:before="0" w:after="0" w:line="240" w:lineRule="auto"/>
              <w:ind w:firstLine="0" w:firstLineChars="0"/>
              <w:jc w:val="center"/>
              <w:rPr>
                <w:rFonts w:ascii="Times New Roman" w:hAnsi="Times New Roman" w:eastAsia="仿宋" w:cs="Times New Roman"/>
                <w:b/>
                <w:bCs/>
                <w:color w:val="000000"/>
                <w:kern w:val="0"/>
                <w:sz w:val="24"/>
                <w:szCs w:val="24"/>
                <w:lang w:val="en-US" w:eastAsia="zh-CN" w:bidi="ar-SA"/>
              </w:rPr>
            </w:pPr>
            <w:r>
              <w:rPr>
                <w:b/>
                <w:bCs/>
                <w:color w:val="000000"/>
                <w:kern w:val="0"/>
                <w:sz w:val="24"/>
                <w:szCs w:val="24"/>
              </w:rPr>
              <w:t>所在镇</w:t>
            </w:r>
          </w:p>
        </w:tc>
        <w:tc>
          <w:tcPr>
            <w:tcW w:w="1543" w:type="dxa"/>
            <w:tcBorders>
              <w:left w:val="single" w:color="auto" w:sz="4" w:space="0"/>
              <w:bottom w:val="single" w:color="auto" w:sz="4" w:space="0"/>
              <w:right w:val="single" w:color="auto" w:sz="4" w:space="0"/>
            </w:tcBorders>
            <w:vAlign w:val="center"/>
          </w:tcPr>
          <w:p>
            <w:pPr>
              <w:widowControl/>
              <w:spacing w:before="0" w:after="0" w:line="240" w:lineRule="auto"/>
              <w:ind w:firstLine="0" w:firstLineChars="0"/>
              <w:jc w:val="center"/>
              <w:rPr>
                <w:b/>
                <w:bCs/>
                <w:color w:val="000000"/>
                <w:kern w:val="0"/>
                <w:sz w:val="24"/>
                <w:szCs w:val="24"/>
              </w:rPr>
            </w:pPr>
            <w:r>
              <w:rPr>
                <w:b/>
                <w:bCs/>
                <w:color w:val="000000"/>
                <w:kern w:val="0"/>
                <w:sz w:val="24"/>
                <w:szCs w:val="24"/>
              </w:rPr>
              <w:t>成片开发面积（公顷）</w:t>
            </w:r>
          </w:p>
        </w:tc>
        <w:tc>
          <w:tcPr>
            <w:tcW w:w="1844" w:type="dxa"/>
            <w:tcBorders>
              <w:left w:val="single" w:color="auto" w:sz="4" w:space="0"/>
              <w:bottom w:val="single" w:color="auto" w:sz="4" w:space="0"/>
            </w:tcBorders>
            <w:vAlign w:val="center"/>
          </w:tcPr>
          <w:p>
            <w:pPr>
              <w:widowControl/>
              <w:spacing w:before="0" w:after="0" w:line="240" w:lineRule="auto"/>
              <w:ind w:firstLine="0" w:firstLineChars="0"/>
              <w:jc w:val="center"/>
              <w:rPr>
                <w:b/>
                <w:bCs/>
                <w:color w:val="000000"/>
                <w:kern w:val="0"/>
                <w:sz w:val="24"/>
                <w:szCs w:val="24"/>
              </w:rPr>
            </w:pPr>
            <w:r>
              <w:rPr>
                <w:b/>
                <w:bCs/>
                <w:color w:val="000000"/>
                <w:kern w:val="0"/>
                <w:sz w:val="24"/>
                <w:szCs w:val="24"/>
              </w:rPr>
              <w:t>拟实施征收面积（公顷）</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38" w:hRule="atLeast"/>
          <w:jc w:val="center"/>
        </w:trPr>
        <w:tc>
          <w:tcPr>
            <w:tcW w:w="700" w:type="dxa"/>
            <w:tcBorders>
              <w:top w:val="single" w:color="auto" w:sz="4" w:space="0"/>
              <w:bottom w:val="single" w:color="auto" w:sz="4" w:space="0"/>
              <w:right w:val="single" w:color="auto" w:sz="4" w:space="0"/>
            </w:tcBorders>
            <w:vAlign w:val="center"/>
          </w:tcPr>
          <w:p>
            <w:pPr>
              <w:widowControl/>
              <w:spacing w:before="0" w:after="0" w:line="240" w:lineRule="auto"/>
              <w:ind w:firstLine="0" w:firstLineChars="0"/>
              <w:jc w:val="center"/>
              <w:rPr>
                <w:rFonts w:hint="default" w:eastAsia="等线"/>
                <w:color w:val="000000"/>
                <w:kern w:val="0"/>
                <w:sz w:val="24"/>
                <w:szCs w:val="24"/>
                <w:lang w:val="en-US" w:eastAsia="zh-CN"/>
              </w:rPr>
            </w:pPr>
            <w:r>
              <w:rPr>
                <w:rFonts w:hint="eastAsia" w:eastAsia="等线"/>
                <w:color w:val="000000"/>
                <w:kern w:val="0"/>
                <w:sz w:val="24"/>
                <w:szCs w:val="24"/>
                <w:lang w:val="en-US" w:eastAsia="zh-CN"/>
              </w:rPr>
              <w:t>01</w:t>
            </w:r>
          </w:p>
        </w:tc>
        <w:tc>
          <w:tcPr>
            <w:tcW w:w="2891" w:type="dxa"/>
            <w:tcBorders>
              <w:top w:val="single" w:color="auto" w:sz="4" w:space="0"/>
              <w:left w:val="single" w:color="auto" w:sz="4" w:space="0"/>
              <w:bottom w:val="single" w:color="auto" w:sz="4" w:space="0"/>
              <w:right w:val="single" w:color="auto" w:sz="4" w:space="0"/>
            </w:tcBorders>
            <w:vAlign w:val="center"/>
          </w:tcPr>
          <w:p>
            <w:pPr>
              <w:widowControl/>
              <w:spacing w:before="0" w:after="0" w:line="240" w:lineRule="auto"/>
              <w:ind w:firstLine="0" w:firstLineChars="0"/>
              <w:jc w:val="center"/>
              <w:rPr>
                <w:color w:val="000000"/>
                <w:kern w:val="0"/>
                <w:sz w:val="24"/>
                <w:szCs w:val="24"/>
              </w:rPr>
            </w:pPr>
            <w:r>
              <w:rPr>
                <w:rFonts w:hint="eastAsia"/>
                <w:color w:val="000000"/>
                <w:kern w:val="0"/>
                <w:sz w:val="24"/>
                <w:szCs w:val="24"/>
              </w:rPr>
              <w:t>云浮市中心城区思劳-腰古组团南片区-1</w:t>
            </w:r>
          </w:p>
        </w:tc>
        <w:tc>
          <w:tcPr>
            <w:tcW w:w="1679" w:type="dxa"/>
            <w:tcBorders>
              <w:top w:val="single" w:color="auto" w:sz="4" w:space="0"/>
              <w:left w:val="single" w:color="auto" w:sz="4" w:space="0"/>
              <w:bottom w:val="single" w:color="auto" w:sz="4" w:space="0"/>
              <w:right w:val="single" w:color="auto" w:sz="4" w:space="0"/>
            </w:tcBorders>
            <w:vAlign w:val="center"/>
          </w:tcPr>
          <w:p>
            <w:pPr>
              <w:widowControl/>
              <w:spacing w:before="0" w:after="0" w:line="240" w:lineRule="auto"/>
              <w:ind w:firstLine="0" w:firstLineChars="0"/>
              <w:jc w:val="center"/>
              <w:rPr>
                <w:rFonts w:ascii="Times New Roman" w:hAnsi="Times New Roman" w:eastAsia="仿宋" w:cs="Times New Roman"/>
                <w:color w:val="000000"/>
                <w:kern w:val="0"/>
                <w:sz w:val="24"/>
                <w:szCs w:val="24"/>
                <w:lang w:val="en-US" w:eastAsia="zh-CN" w:bidi="ar-SA"/>
              </w:rPr>
            </w:pPr>
            <w:r>
              <w:rPr>
                <w:rFonts w:hint="eastAsia"/>
                <w:color w:val="000000"/>
                <w:kern w:val="0"/>
                <w:sz w:val="24"/>
                <w:szCs w:val="24"/>
              </w:rPr>
              <w:t>安塘街道、思劳镇、腰古镇</w:t>
            </w:r>
          </w:p>
        </w:tc>
        <w:tc>
          <w:tcPr>
            <w:tcW w:w="1543" w:type="dxa"/>
            <w:tcBorders>
              <w:top w:val="single" w:color="auto" w:sz="4" w:space="0"/>
              <w:left w:val="single" w:color="auto" w:sz="4" w:space="0"/>
              <w:bottom w:val="single" w:color="auto" w:sz="4" w:space="0"/>
              <w:right w:val="single" w:color="auto" w:sz="4" w:space="0"/>
            </w:tcBorders>
            <w:vAlign w:val="center"/>
          </w:tcPr>
          <w:p>
            <w:pPr>
              <w:spacing w:before="0" w:after="0" w:line="240" w:lineRule="auto"/>
              <w:ind w:firstLine="0" w:firstLineChars="0"/>
              <w:jc w:val="center"/>
              <w:rPr>
                <w:sz w:val="24"/>
                <w:szCs w:val="24"/>
              </w:rPr>
            </w:pPr>
            <w:r>
              <w:rPr>
                <w:rFonts w:hint="default"/>
                <w:sz w:val="24"/>
                <w:szCs w:val="24"/>
                <w:lang w:val="en-US" w:eastAsia="zh-CN"/>
              </w:rPr>
              <w:t xml:space="preserve">104.4115 </w:t>
            </w:r>
          </w:p>
        </w:tc>
        <w:tc>
          <w:tcPr>
            <w:tcW w:w="1844" w:type="dxa"/>
            <w:tcBorders>
              <w:top w:val="single" w:color="auto" w:sz="4" w:space="0"/>
              <w:left w:val="single" w:color="auto" w:sz="4" w:space="0"/>
              <w:bottom w:val="single" w:color="auto" w:sz="4" w:space="0"/>
            </w:tcBorders>
            <w:vAlign w:val="center"/>
          </w:tcPr>
          <w:p>
            <w:pPr>
              <w:spacing w:before="0" w:after="0" w:line="240" w:lineRule="auto"/>
              <w:ind w:firstLine="0" w:firstLineChars="0"/>
              <w:jc w:val="center"/>
              <w:rPr>
                <w:rFonts w:hint="default"/>
                <w:sz w:val="24"/>
                <w:szCs w:val="24"/>
                <w:lang w:val="en-US" w:eastAsia="zh-CN"/>
              </w:rPr>
            </w:pPr>
            <w:r>
              <w:rPr>
                <w:rFonts w:hint="default"/>
                <w:sz w:val="24"/>
                <w:szCs w:val="24"/>
                <w:lang w:val="en-US" w:eastAsia="zh-CN"/>
              </w:rPr>
              <w:t xml:space="preserve">60.4983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78" w:hRule="atLeast"/>
          <w:jc w:val="center"/>
        </w:trPr>
        <w:tc>
          <w:tcPr>
            <w:tcW w:w="700" w:type="dxa"/>
            <w:tcBorders>
              <w:top w:val="single" w:color="auto" w:sz="4" w:space="0"/>
              <w:bottom w:val="single" w:color="auto" w:sz="4" w:space="0"/>
              <w:right w:val="single" w:color="auto" w:sz="4" w:space="0"/>
            </w:tcBorders>
            <w:vAlign w:val="center"/>
          </w:tcPr>
          <w:p>
            <w:pPr>
              <w:widowControl/>
              <w:spacing w:before="0" w:after="0" w:line="240" w:lineRule="auto"/>
              <w:ind w:firstLine="0" w:firstLineChars="0"/>
              <w:jc w:val="center"/>
              <w:rPr>
                <w:rFonts w:hint="default" w:ascii="Times New Roman" w:hAnsi="Times New Roman" w:eastAsia="等线" w:cs="Times New Roman"/>
                <w:color w:val="000000"/>
                <w:kern w:val="0"/>
                <w:sz w:val="24"/>
                <w:szCs w:val="24"/>
                <w:lang w:val="en-US" w:eastAsia="zh-CN" w:bidi="ar-SA"/>
              </w:rPr>
            </w:pPr>
            <w:r>
              <w:rPr>
                <w:rFonts w:hint="eastAsia" w:eastAsia="等线"/>
                <w:color w:val="000000"/>
                <w:kern w:val="0"/>
                <w:sz w:val="24"/>
                <w:szCs w:val="24"/>
                <w:lang w:val="en-US" w:eastAsia="zh-CN"/>
              </w:rPr>
              <w:t>02</w:t>
            </w:r>
          </w:p>
        </w:tc>
        <w:tc>
          <w:tcPr>
            <w:tcW w:w="2891" w:type="dxa"/>
            <w:tcBorders>
              <w:top w:val="single" w:color="auto" w:sz="4" w:space="0"/>
              <w:left w:val="single" w:color="auto" w:sz="4" w:space="0"/>
              <w:bottom w:val="single" w:color="auto" w:sz="4" w:space="0"/>
              <w:right w:val="single" w:color="auto" w:sz="4" w:space="0"/>
            </w:tcBorders>
            <w:vAlign w:val="center"/>
          </w:tcPr>
          <w:p>
            <w:pPr>
              <w:widowControl/>
              <w:spacing w:before="0" w:after="0" w:line="240" w:lineRule="auto"/>
              <w:ind w:firstLine="0" w:firstLineChars="0"/>
              <w:jc w:val="center"/>
              <w:rPr>
                <w:rFonts w:ascii="Times New Roman" w:hAnsi="Times New Roman" w:eastAsia="仿宋" w:cs="Times New Roman"/>
                <w:color w:val="000000"/>
                <w:kern w:val="0"/>
                <w:sz w:val="24"/>
                <w:szCs w:val="24"/>
                <w:lang w:val="en-US" w:eastAsia="zh-CN" w:bidi="ar-SA"/>
              </w:rPr>
            </w:pPr>
            <w:r>
              <w:rPr>
                <w:rFonts w:hint="eastAsia"/>
                <w:color w:val="000000"/>
                <w:kern w:val="0"/>
                <w:sz w:val="24"/>
                <w:szCs w:val="24"/>
              </w:rPr>
              <w:t>云浮市中心城区思劳-腰古组团南片区-2</w:t>
            </w:r>
          </w:p>
        </w:tc>
        <w:tc>
          <w:tcPr>
            <w:tcW w:w="1679" w:type="dxa"/>
            <w:tcBorders>
              <w:top w:val="single" w:color="auto" w:sz="4" w:space="0"/>
              <w:left w:val="single" w:color="auto" w:sz="4" w:space="0"/>
              <w:bottom w:val="single" w:color="auto" w:sz="4" w:space="0"/>
              <w:right w:val="single" w:color="auto" w:sz="4" w:space="0"/>
            </w:tcBorders>
            <w:vAlign w:val="center"/>
          </w:tcPr>
          <w:p>
            <w:pPr>
              <w:widowControl/>
              <w:spacing w:before="0" w:after="0" w:line="240" w:lineRule="auto"/>
              <w:ind w:firstLine="0" w:firstLineChars="0"/>
              <w:jc w:val="center"/>
              <w:rPr>
                <w:rFonts w:ascii="Times New Roman" w:hAnsi="Times New Roman" w:eastAsia="仿宋" w:cs="Times New Roman"/>
                <w:color w:val="000000"/>
                <w:kern w:val="0"/>
                <w:sz w:val="24"/>
                <w:szCs w:val="24"/>
                <w:lang w:val="en-US" w:eastAsia="zh-CN" w:bidi="ar-SA"/>
              </w:rPr>
            </w:pPr>
            <w:r>
              <w:rPr>
                <w:rFonts w:hint="eastAsia"/>
                <w:color w:val="000000"/>
                <w:kern w:val="0"/>
                <w:sz w:val="24"/>
                <w:szCs w:val="24"/>
              </w:rPr>
              <w:t>安塘街道</w:t>
            </w:r>
          </w:p>
        </w:tc>
        <w:tc>
          <w:tcPr>
            <w:tcW w:w="1543" w:type="dxa"/>
            <w:tcBorders>
              <w:top w:val="single" w:color="auto" w:sz="4" w:space="0"/>
              <w:left w:val="single" w:color="auto" w:sz="4" w:space="0"/>
              <w:bottom w:val="single" w:color="auto" w:sz="4" w:space="0"/>
              <w:right w:val="single" w:color="auto" w:sz="4" w:space="0"/>
            </w:tcBorders>
            <w:vAlign w:val="center"/>
          </w:tcPr>
          <w:p>
            <w:pPr>
              <w:spacing w:before="0" w:after="0" w:line="240" w:lineRule="auto"/>
              <w:ind w:firstLine="0" w:firstLineChars="0"/>
              <w:jc w:val="center"/>
              <w:rPr>
                <w:sz w:val="24"/>
                <w:szCs w:val="24"/>
                <w:lang w:val="en-US" w:eastAsia="zh-CN"/>
              </w:rPr>
            </w:pPr>
            <w:r>
              <w:rPr>
                <w:rFonts w:hint="default"/>
                <w:sz w:val="24"/>
                <w:szCs w:val="24"/>
                <w:lang w:val="en-US" w:eastAsia="zh-CN"/>
              </w:rPr>
              <w:t xml:space="preserve">67.3043 </w:t>
            </w:r>
          </w:p>
        </w:tc>
        <w:tc>
          <w:tcPr>
            <w:tcW w:w="1844" w:type="dxa"/>
            <w:tcBorders>
              <w:top w:val="single" w:color="auto" w:sz="4" w:space="0"/>
              <w:left w:val="single" w:color="auto" w:sz="4" w:space="0"/>
              <w:bottom w:val="single" w:color="auto" w:sz="4" w:space="0"/>
            </w:tcBorders>
            <w:vAlign w:val="center"/>
          </w:tcPr>
          <w:p>
            <w:pPr>
              <w:spacing w:before="0" w:after="0" w:line="240" w:lineRule="auto"/>
              <w:ind w:firstLine="0" w:firstLineChars="0"/>
              <w:jc w:val="center"/>
              <w:rPr>
                <w:rFonts w:hint="default"/>
                <w:sz w:val="24"/>
                <w:szCs w:val="24"/>
                <w:lang w:val="en-US" w:eastAsia="zh-CN"/>
              </w:rPr>
            </w:pPr>
            <w:r>
              <w:rPr>
                <w:rFonts w:hint="default"/>
                <w:sz w:val="24"/>
                <w:szCs w:val="24"/>
                <w:lang w:val="en-US" w:eastAsia="zh-CN"/>
              </w:rPr>
              <w:t xml:space="preserve">66.2187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PrEx>
        <w:trPr>
          <w:trHeight w:val="778" w:hRule="atLeast"/>
          <w:jc w:val="center"/>
        </w:trPr>
        <w:tc>
          <w:tcPr>
            <w:tcW w:w="700" w:type="dxa"/>
            <w:tcBorders>
              <w:top w:val="single" w:color="auto" w:sz="4" w:space="0"/>
              <w:bottom w:val="single" w:color="auto" w:sz="4" w:space="0"/>
              <w:right w:val="single" w:color="auto" w:sz="4" w:space="0"/>
            </w:tcBorders>
            <w:vAlign w:val="center"/>
          </w:tcPr>
          <w:p>
            <w:pPr>
              <w:widowControl/>
              <w:spacing w:before="0" w:after="0" w:line="240" w:lineRule="auto"/>
              <w:ind w:firstLine="0" w:firstLineChars="0"/>
              <w:jc w:val="center"/>
              <w:rPr>
                <w:rFonts w:hint="default" w:eastAsia="等线"/>
                <w:color w:val="000000"/>
                <w:kern w:val="0"/>
                <w:sz w:val="24"/>
                <w:szCs w:val="24"/>
                <w:lang w:val="en-US" w:eastAsia="zh-CN"/>
              </w:rPr>
            </w:pPr>
            <w:r>
              <w:rPr>
                <w:rFonts w:hint="eastAsia" w:eastAsia="等线"/>
                <w:color w:val="000000"/>
                <w:kern w:val="0"/>
                <w:sz w:val="24"/>
                <w:szCs w:val="24"/>
                <w:lang w:val="en-US" w:eastAsia="zh-CN"/>
              </w:rPr>
              <w:t>03</w:t>
            </w:r>
          </w:p>
        </w:tc>
        <w:tc>
          <w:tcPr>
            <w:tcW w:w="2891" w:type="dxa"/>
            <w:tcBorders>
              <w:top w:val="single" w:color="auto" w:sz="4" w:space="0"/>
              <w:left w:val="single" w:color="auto" w:sz="4" w:space="0"/>
              <w:bottom w:val="single" w:color="auto" w:sz="4" w:space="0"/>
              <w:right w:val="single" w:color="auto" w:sz="4" w:space="0"/>
            </w:tcBorders>
            <w:vAlign w:val="center"/>
          </w:tcPr>
          <w:p>
            <w:pPr>
              <w:widowControl/>
              <w:spacing w:before="0" w:after="0" w:line="240" w:lineRule="auto"/>
              <w:ind w:firstLine="0" w:firstLineChars="0"/>
              <w:jc w:val="center"/>
              <w:rPr>
                <w:color w:val="000000"/>
                <w:kern w:val="0"/>
                <w:sz w:val="24"/>
                <w:szCs w:val="24"/>
              </w:rPr>
            </w:pPr>
            <w:r>
              <w:rPr>
                <w:rFonts w:hint="eastAsia"/>
                <w:color w:val="000000"/>
                <w:kern w:val="0"/>
                <w:sz w:val="24"/>
                <w:szCs w:val="24"/>
              </w:rPr>
              <w:t>佛山（云浮）产业转移工业园（思劳片区）西片区</w:t>
            </w:r>
          </w:p>
        </w:tc>
        <w:tc>
          <w:tcPr>
            <w:tcW w:w="1679" w:type="dxa"/>
            <w:tcBorders>
              <w:top w:val="single" w:color="auto" w:sz="4" w:space="0"/>
              <w:left w:val="single" w:color="auto" w:sz="4" w:space="0"/>
              <w:bottom w:val="single" w:color="auto" w:sz="4" w:space="0"/>
              <w:right w:val="single" w:color="auto" w:sz="4" w:space="0"/>
            </w:tcBorders>
            <w:vAlign w:val="center"/>
          </w:tcPr>
          <w:p>
            <w:pPr>
              <w:widowControl/>
              <w:spacing w:before="0" w:after="0" w:line="240" w:lineRule="auto"/>
              <w:ind w:firstLine="0" w:firstLineChars="0"/>
              <w:jc w:val="center"/>
              <w:rPr>
                <w:color w:val="000000"/>
                <w:kern w:val="0"/>
                <w:sz w:val="24"/>
                <w:szCs w:val="24"/>
              </w:rPr>
            </w:pPr>
            <w:r>
              <w:rPr>
                <w:rFonts w:hint="eastAsia"/>
                <w:color w:val="000000"/>
                <w:kern w:val="0"/>
                <w:sz w:val="24"/>
                <w:szCs w:val="24"/>
              </w:rPr>
              <w:t>思劳镇</w:t>
            </w:r>
          </w:p>
        </w:tc>
        <w:tc>
          <w:tcPr>
            <w:tcW w:w="1543" w:type="dxa"/>
            <w:tcBorders>
              <w:top w:val="single" w:color="auto" w:sz="4" w:space="0"/>
              <w:left w:val="single" w:color="auto" w:sz="4" w:space="0"/>
              <w:bottom w:val="single" w:color="auto" w:sz="4" w:space="0"/>
              <w:right w:val="single" w:color="auto" w:sz="4" w:space="0"/>
            </w:tcBorders>
            <w:vAlign w:val="center"/>
          </w:tcPr>
          <w:p>
            <w:pPr>
              <w:spacing w:before="0" w:after="0" w:line="240" w:lineRule="auto"/>
              <w:ind w:firstLine="0" w:firstLineChars="0"/>
              <w:jc w:val="center"/>
              <w:rPr>
                <w:sz w:val="24"/>
                <w:szCs w:val="24"/>
              </w:rPr>
            </w:pPr>
            <w:r>
              <w:rPr>
                <w:rFonts w:hint="default"/>
                <w:sz w:val="24"/>
                <w:szCs w:val="24"/>
                <w:lang w:val="en-US" w:eastAsia="zh-CN"/>
              </w:rPr>
              <w:t xml:space="preserve">8.1146 </w:t>
            </w:r>
          </w:p>
        </w:tc>
        <w:tc>
          <w:tcPr>
            <w:tcW w:w="1844" w:type="dxa"/>
            <w:tcBorders>
              <w:top w:val="single" w:color="auto" w:sz="4" w:space="0"/>
              <w:left w:val="single" w:color="auto" w:sz="4" w:space="0"/>
              <w:bottom w:val="single" w:color="auto" w:sz="4" w:space="0"/>
            </w:tcBorders>
            <w:vAlign w:val="center"/>
          </w:tcPr>
          <w:p>
            <w:pPr>
              <w:spacing w:before="0" w:after="0" w:line="240" w:lineRule="auto"/>
              <w:ind w:firstLine="0" w:firstLineChars="0"/>
              <w:jc w:val="center"/>
              <w:rPr>
                <w:rFonts w:hint="default"/>
                <w:sz w:val="24"/>
                <w:szCs w:val="24"/>
                <w:lang w:val="en-US" w:eastAsia="zh-CN"/>
              </w:rPr>
            </w:pPr>
            <w:r>
              <w:rPr>
                <w:rFonts w:hint="default"/>
                <w:sz w:val="24"/>
                <w:szCs w:val="24"/>
                <w:lang w:val="en-US" w:eastAsia="zh-CN"/>
              </w:rPr>
              <w:t xml:space="preserve">7.5138 </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48" w:hRule="atLeast"/>
          <w:jc w:val="center"/>
        </w:trPr>
        <w:tc>
          <w:tcPr>
            <w:tcW w:w="5270" w:type="dxa"/>
            <w:gridSpan w:val="3"/>
            <w:tcBorders>
              <w:top w:val="single" w:color="auto" w:sz="4" w:space="0"/>
              <w:bottom w:val="single" w:color="auto" w:sz="4" w:space="0"/>
              <w:right w:val="single" w:color="auto" w:sz="4" w:space="0"/>
            </w:tcBorders>
            <w:vAlign w:val="center"/>
          </w:tcPr>
          <w:p>
            <w:pPr>
              <w:widowControl/>
              <w:spacing w:before="0" w:after="0" w:line="240" w:lineRule="auto"/>
              <w:ind w:firstLine="0" w:firstLineChars="0"/>
              <w:jc w:val="center"/>
              <w:rPr>
                <w:rFonts w:hint="eastAsia" w:eastAsia="仿宋"/>
                <w:color w:val="000000"/>
                <w:kern w:val="0"/>
                <w:sz w:val="24"/>
                <w:szCs w:val="24"/>
                <w:lang w:val="en-US" w:eastAsia="zh-CN"/>
              </w:rPr>
            </w:pPr>
            <w:r>
              <w:rPr>
                <w:rFonts w:hint="eastAsia"/>
                <w:color w:val="000000"/>
                <w:kern w:val="0"/>
                <w:sz w:val="24"/>
                <w:szCs w:val="24"/>
                <w:lang w:val="en-US" w:eastAsia="zh-CN"/>
              </w:rPr>
              <w:t>合计</w:t>
            </w:r>
          </w:p>
        </w:tc>
        <w:tc>
          <w:tcPr>
            <w:tcW w:w="1543" w:type="dxa"/>
            <w:tcBorders>
              <w:top w:val="single" w:color="auto" w:sz="4" w:space="0"/>
              <w:left w:val="single" w:color="auto" w:sz="4" w:space="0"/>
              <w:bottom w:val="single" w:color="auto" w:sz="4" w:space="0"/>
              <w:right w:val="single" w:color="auto" w:sz="4" w:space="0"/>
            </w:tcBorders>
            <w:vAlign w:val="center"/>
          </w:tcPr>
          <w:p>
            <w:pPr>
              <w:spacing w:before="0" w:after="0" w:line="240" w:lineRule="auto"/>
              <w:ind w:firstLine="0" w:firstLineChars="0"/>
              <w:jc w:val="center"/>
              <w:rPr>
                <w:sz w:val="24"/>
                <w:szCs w:val="24"/>
              </w:rPr>
            </w:pPr>
            <w:r>
              <w:rPr>
                <w:rFonts w:hint="default"/>
                <w:sz w:val="24"/>
                <w:szCs w:val="24"/>
                <w:lang w:val="en-US" w:eastAsia="zh-CN"/>
              </w:rPr>
              <w:t xml:space="preserve">179.8304 </w:t>
            </w:r>
          </w:p>
        </w:tc>
        <w:tc>
          <w:tcPr>
            <w:tcW w:w="1844" w:type="dxa"/>
            <w:tcBorders>
              <w:top w:val="single" w:color="auto" w:sz="4" w:space="0"/>
              <w:left w:val="single" w:color="auto" w:sz="4" w:space="0"/>
              <w:bottom w:val="single" w:color="auto" w:sz="4" w:space="0"/>
            </w:tcBorders>
            <w:vAlign w:val="center"/>
          </w:tcPr>
          <w:p>
            <w:pPr>
              <w:spacing w:before="0" w:after="0" w:line="240" w:lineRule="auto"/>
              <w:ind w:firstLine="0" w:firstLineChars="0"/>
              <w:jc w:val="center"/>
              <w:rPr>
                <w:rFonts w:hint="default"/>
                <w:sz w:val="24"/>
                <w:szCs w:val="24"/>
                <w:lang w:val="en-US" w:eastAsia="zh-CN"/>
              </w:rPr>
            </w:pPr>
            <w:r>
              <w:rPr>
                <w:rFonts w:hint="default"/>
                <w:sz w:val="24"/>
                <w:szCs w:val="24"/>
                <w:lang w:val="en-US" w:eastAsia="zh-CN"/>
              </w:rPr>
              <w:t xml:space="preserve">134.2308 </w:t>
            </w:r>
          </w:p>
        </w:tc>
      </w:tr>
    </w:tbl>
    <w:p>
      <w:pPr>
        <w:rPr>
          <w:rFonts w:ascii="Times New Roman" w:hAnsi="Times New Roman"/>
        </w:rPr>
      </w:pPr>
      <w:r>
        <w:rPr>
          <w:rFonts w:ascii="Times New Roman" w:hAnsi="Times New Roman"/>
        </w:rPr>
        <w:br w:type="page"/>
      </w:r>
    </w:p>
    <w:p>
      <w:pPr>
        <w:pStyle w:val="10"/>
        <w:keepNext w:val="0"/>
        <w:keepLines w:val="0"/>
        <w:pageBreakBefore w:val="0"/>
        <w:widowControl/>
        <w:kinsoku/>
        <w:wordWrap/>
        <w:overflowPunct/>
        <w:topLinePunct w:val="0"/>
        <w:autoSpaceDE/>
        <w:autoSpaceDN/>
        <w:bidi w:val="0"/>
        <w:adjustRightInd/>
        <w:snapToGrid/>
        <w:spacing w:after="287" w:afterLines="75"/>
        <w:ind w:left="0"/>
        <w:textAlignment w:val="auto"/>
        <w:rPr>
          <w:rFonts w:ascii="Times New Roman" w:hAnsi="Times New Roman"/>
        </w:rPr>
      </w:pPr>
      <w:r>
        <w:rPr>
          <w:rFonts w:ascii="Times New Roman" w:hAnsi="Times New Roman"/>
        </w:rPr>
        <w:t>成片开发条件分析</w:t>
      </w:r>
    </w:p>
    <w:p>
      <w:pPr>
        <w:pStyle w:val="11"/>
        <w:rPr>
          <w:rFonts w:ascii="Times New Roman" w:hAnsi="Times New Roman"/>
        </w:rPr>
      </w:pPr>
      <w:r>
        <w:rPr>
          <w:rFonts w:ascii="Times New Roman" w:hAnsi="Times New Roman"/>
        </w:rPr>
        <w:t>（一）必要性分析</w:t>
      </w:r>
    </w:p>
    <w:p>
      <w:pPr>
        <w:pStyle w:val="12"/>
        <w:keepNext w:val="0"/>
        <w:keepLines w:val="0"/>
        <w:pageBreakBefore w:val="0"/>
        <w:widowControl w:val="0"/>
        <w:kinsoku/>
        <w:wordWrap/>
        <w:overflowPunct/>
        <w:topLinePunct w:val="0"/>
        <w:autoSpaceDE w:val="0"/>
        <w:autoSpaceDN w:val="0"/>
        <w:bidi w:val="0"/>
        <w:adjustRightInd w:val="0"/>
        <w:snapToGrid w:val="0"/>
        <w:spacing w:before="95" w:after="95"/>
        <w:ind w:firstLine="0" w:firstLineChars="0"/>
        <w:textAlignment w:val="auto"/>
        <w:rPr>
          <w:rFonts w:eastAsia="黑体"/>
          <w:sz w:val="30"/>
          <w:szCs w:val="30"/>
        </w:rPr>
      </w:pPr>
      <w:r>
        <w:rPr>
          <w:rFonts w:hint="eastAsia" w:eastAsia="黑体"/>
          <w:sz w:val="30"/>
          <w:szCs w:val="30"/>
          <w:lang w:val="en-US" w:eastAsia="zh-CN"/>
        </w:rPr>
        <w:t>1、</w:t>
      </w:r>
      <w:r>
        <w:rPr>
          <w:rFonts w:eastAsia="黑体"/>
          <w:sz w:val="30"/>
          <w:szCs w:val="30"/>
        </w:rPr>
        <w:t>成片开发是经营性项目征收土地的重要前提</w:t>
      </w:r>
    </w:p>
    <w:p>
      <w:pPr>
        <w:pStyle w:val="12"/>
        <w:keepNext w:val="0"/>
        <w:keepLines w:val="0"/>
        <w:pageBreakBefore w:val="0"/>
        <w:widowControl w:val="0"/>
        <w:kinsoku/>
        <w:wordWrap/>
        <w:overflowPunct/>
        <w:topLinePunct w:val="0"/>
        <w:autoSpaceDE w:val="0"/>
        <w:autoSpaceDN w:val="0"/>
        <w:bidi w:val="0"/>
        <w:adjustRightInd w:val="0"/>
        <w:snapToGrid w:val="0"/>
        <w:spacing w:before="95" w:after="95"/>
        <w:ind w:firstLine="560" w:firstLineChars="200"/>
        <w:textAlignment w:val="auto"/>
        <w:rPr>
          <w:rFonts w:hint="eastAsia"/>
        </w:rPr>
      </w:pPr>
      <w:r>
        <w:rPr>
          <w:rFonts w:hint="eastAsia"/>
        </w:rPr>
        <w:t>2020年1月1日正式实施的《土地管理法》第45条第5款规定</w:t>
      </w:r>
      <w:r>
        <w:rPr>
          <w:rFonts w:hint="eastAsia"/>
          <w:lang w:eastAsia="zh-CN"/>
        </w:rPr>
        <w:t>“</w:t>
      </w:r>
      <w:r>
        <w:rPr>
          <w:rFonts w:hint="eastAsia"/>
        </w:rPr>
        <w:t>在土地利用总体规划确定的城镇建设用地范围内，经省级人民政府批准由县级以上人民政府组织实施的成片开发建设需要用地的可以依法实施土地征收</w:t>
      </w:r>
      <w:r>
        <w:rPr>
          <w:rFonts w:hint="eastAsia"/>
          <w:lang w:eastAsia="zh-CN"/>
        </w:rPr>
        <w:t>”</w:t>
      </w:r>
      <w:r>
        <w:rPr>
          <w:rFonts w:hint="eastAsia"/>
        </w:rPr>
        <w:t>，成片开发成为经营性项目用地征收的重要要求。</w:t>
      </w:r>
    </w:p>
    <w:p>
      <w:pPr>
        <w:pStyle w:val="12"/>
        <w:keepNext w:val="0"/>
        <w:keepLines w:val="0"/>
        <w:pageBreakBefore w:val="0"/>
        <w:widowControl w:val="0"/>
        <w:kinsoku/>
        <w:wordWrap/>
        <w:overflowPunct/>
        <w:topLinePunct w:val="0"/>
        <w:autoSpaceDE w:val="0"/>
        <w:autoSpaceDN w:val="0"/>
        <w:bidi w:val="0"/>
        <w:adjustRightInd w:val="0"/>
        <w:snapToGrid w:val="0"/>
        <w:spacing w:before="95" w:after="95"/>
        <w:ind w:firstLine="0" w:firstLineChars="0"/>
        <w:textAlignment w:val="auto"/>
        <w:rPr>
          <w:rFonts w:hint="eastAsia" w:eastAsia="黑体"/>
          <w:sz w:val="30"/>
          <w:szCs w:val="30"/>
          <w:lang w:val="en-US" w:eastAsia="zh-CN"/>
        </w:rPr>
      </w:pPr>
      <w:r>
        <w:rPr>
          <w:rFonts w:hint="eastAsia" w:eastAsia="黑体"/>
          <w:sz w:val="30"/>
          <w:szCs w:val="30"/>
          <w:lang w:val="en-US" w:eastAsia="zh-CN"/>
        </w:rPr>
        <w:t>2、是构建多元化发展平台，实践云城各区差异化发展的重要</w:t>
      </w:r>
    </w:p>
    <w:p>
      <w:pPr>
        <w:pStyle w:val="12"/>
        <w:keepNext w:val="0"/>
        <w:keepLines w:val="0"/>
        <w:pageBreakBefore w:val="0"/>
        <w:widowControl w:val="0"/>
        <w:kinsoku/>
        <w:wordWrap/>
        <w:overflowPunct/>
        <w:topLinePunct w:val="0"/>
        <w:autoSpaceDE w:val="0"/>
        <w:autoSpaceDN w:val="0"/>
        <w:bidi w:val="0"/>
        <w:adjustRightInd w:val="0"/>
        <w:snapToGrid w:val="0"/>
        <w:spacing w:before="95" w:after="95"/>
        <w:ind w:firstLine="0" w:firstLineChars="0"/>
        <w:textAlignment w:val="auto"/>
        <w:rPr>
          <w:rFonts w:hint="eastAsia" w:eastAsia="黑体"/>
          <w:sz w:val="30"/>
          <w:szCs w:val="30"/>
          <w:lang w:val="en-US" w:eastAsia="zh-CN"/>
        </w:rPr>
      </w:pPr>
      <w:r>
        <w:rPr>
          <w:rFonts w:hint="eastAsia" w:eastAsia="黑体"/>
          <w:sz w:val="30"/>
          <w:szCs w:val="30"/>
          <w:lang w:val="en-US" w:eastAsia="zh-CN"/>
        </w:rPr>
        <w:t>基础</w:t>
      </w:r>
    </w:p>
    <w:p>
      <w:pPr>
        <w:pStyle w:val="12"/>
        <w:keepNext w:val="0"/>
        <w:keepLines w:val="0"/>
        <w:pageBreakBefore w:val="0"/>
        <w:widowControl w:val="0"/>
        <w:kinsoku/>
        <w:wordWrap/>
        <w:overflowPunct/>
        <w:topLinePunct w:val="0"/>
        <w:autoSpaceDE w:val="0"/>
        <w:autoSpaceDN w:val="0"/>
        <w:bidi w:val="0"/>
        <w:adjustRightInd w:val="0"/>
        <w:snapToGrid w:val="0"/>
        <w:spacing w:before="95" w:after="95"/>
        <w:ind w:firstLine="560" w:firstLineChars="200"/>
        <w:textAlignment w:val="auto"/>
        <w:rPr>
          <w:rFonts w:hint="eastAsia"/>
        </w:rPr>
      </w:pPr>
      <w:r>
        <w:rPr>
          <w:rFonts w:hint="eastAsia"/>
        </w:rPr>
        <w:t>《云浮市云城区国民经济和社会发展第十四个五年规划和二〇</w:t>
      </w:r>
    </w:p>
    <w:p>
      <w:pPr>
        <w:pStyle w:val="12"/>
        <w:keepNext w:val="0"/>
        <w:keepLines w:val="0"/>
        <w:pageBreakBefore w:val="0"/>
        <w:widowControl w:val="0"/>
        <w:kinsoku/>
        <w:wordWrap/>
        <w:overflowPunct/>
        <w:topLinePunct w:val="0"/>
        <w:autoSpaceDE w:val="0"/>
        <w:autoSpaceDN w:val="0"/>
        <w:bidi w:val="0"/>
        <w:adjustRightInd w:val="0"/>
        <w:snapToGrid w:val="0"/>
        <w:spacing w:before="95" w:after="95"/>
        <w:ind w:firstLine="0" w:firstLineChars="0"/>
        <w:textAlignment w:val="auto"/>
        <w:rPr>
          <w:rFonts w:hint="eastAsia"/>
        </w:rPr>
      </w:pPr>
      <w:r>
        <w:rPr>
          <w:rFonts w:hint="eastAsia"/>
        </w:rPr>
        <w:t>三五年远景目标纲要》提出，要构建全区差别化的协同发展新格局。</w:t>
      </w:r>
    </w:p>
    <w:p>
      <w:pPr>
        <w:pStyle w:val="12"/>
        <w:keepNext w:val="0"/>
        <w:keepLines w:val="0"/>
        <w:pageBreakBefore w:val="0"/>
        <w:widowControl w:val="0"/>
        <w:kinsoku/>
        <w:wordWrap/>
        <w:overflowPunct/>
        <w:topLinePunct w:val="0"/>
        <w:autoSpaceDE w:val="0"/>
        <w:autoSpaceDN w:val="0"/>
        <w:bidi w:val="0"/>
        <w:adjustRightInd w:val="0"/>
        <w:snapToGrid w:val="0"/>
        <w:spacing w:before="95" w:after="95"/>
        <w:ind w:firstLine="0" w:firstLineChars="0"/>
        <w:textAlignment w:val="auto"/>
        <w:rPr>
          <w:rFonts w:hint="eastAsia"/>
        </w:rPr>
      </w:pPr>
      <w:r>
        <w:rPr>
          <w:rFonts w:hint="eastAsia"/>
        </w:rPr>
        <w:t>通过开展本次成片开发，立足各个片区目标定位，结合各个片区的功</w:t>
      </w:r>
    </w:p>
    <w:p>
      <w:pPr>
        <w:pStyle w:val="12"/>
        <w:keepNext w:val="0"/>
        <w:keepLines w:val="0"/>
        <w:pageBreakBefore w:val="0"/>
        <w:widowControl w:val="0"/>
        <w:kinsoku/>
        <w:wordWrap/>
        <w:overflowPunct/>
        <w:topLinePunct w:val="0"/>
        <w:autoSpaceDE w:val="0"/>
        <w:autoSpaceDN w:val="0"/>
        <w:bidi w:val="0"/>
        <w:adjustRightInd w:val="0"/>
        <w:snapToGrid w:val="0"/>
        <w:spacing w:before="95" w:after="95"/>
        <w:ind w:firstLine="0" w:firstLineChars="0"/>
        <w:textAlignment w:val="auto"/>
        <w:rPr>
          <w:rFonts w:hint="eastAsia"/>
        </w:rPr>
      </w:pPr>
      <w:r>
        <w:rPr>
          <w:rFonts w:hint="eastAsia"/>
        </w:rPr>
        <w:t>能定位特色化、差异化布置片区项目，有利于全面激活云城区经济动</w:t>
      </w:r>
    </w:p>
    <w:p>
      <w:pPr>
        <w:pStyle w:val="12"/>
        <w:keepNext w:val="0"/>
        <w:keepLines w:val="0"/>
        <w:pageBreakBefore w:val="0"/>
        <w:widowControl w:val="0"/>
        <w:kinsoku/>
        <w:wordWrap/>
        <w:overflowPunct/>
        <w:topLinePunct w:val="0"/>
        <w:autoSpaceDE w:val="0"/>
        <w:autoSpaceDN w:val="0"/>
        <w:bidi w:val="0"/>
        <w:adjustRightInd w:val="0"/>
        <w:snapToGrid w:val="0"/>
        <w:spacing w:before="95" w:after="95"/>
        <w:ind w:firstLine="0" w:firstLineChars="0"/>
        <w:textAlignment w:val="auto"/>
        <w:rPr>
          <w:rFonts w:hint="eastAsia"/>
        </w:rPr>
      </w:pPr>
      <w:r>
        <w:rPr>
          <w:rFonts w:hint="eastAsia"/>
        </w:rPr>
        <w:t>能，构建多元化的发展平台。</w:t>
      </w:r>
    </w:p>
    <w:p>
      <w:pPr>
        <w:pStyle w:val="12"/>
        <w:keepNext w:val="0"/>
        <w:keepLines w:val="0"/>
        <w:pageBreakBefore w:val="0"/>
        <w:widowControl w:val="0"/>
        <w:kinsoku/>
        <w:wordWrap/>
        <w:overflowPunct/>
        <w:topLinePunct w:val="0"/>
        <w:autoSpaceDE w:val="0"/>
        <w:autoSpaceDN w:val="0"/>
        <w:bidi w:val="0"/>
        <w:adjustRightInd w:val="0"/>
        <w:snapToGrid w:val="0"/>
        <w:spacing w:before="95" w:after="95"/>
        <w:ind w:firstLine="560" w:firstLineChars="200"/>
        <w:textAlignment w:val="auto"/>
        <w:rPr>
          <w:rFonts w:hint="eastAsia"/>
        </w:rPr>
      </w:pPr>
      <w:r>
        <w:rPr>
          <w:rFonts w:hint="eastAsia"/>
        </w:rPr>
        <w:t>思劳-腰古组团南片区主要以产业与城市功能融合、空间整合为</w:t>
      </w:r>
    </w:p>
    <w:p>
      <w:pPr>
        <w:pStyle w:val="12"/>
        <w:keepNext w:val="0"/>
        <w:keepLines w:val="0"/>
        <w:pageBreakBefore w:val="0"/>
        <w:widowControl w:val="0"/>
        <w:kinsoku/>
        <w:wordWrap/>
        <w:overflowPunct/>
        <w:topLinePunct w:val="0"/>
        <w:autoSpaceDE w:val="0"/>
        <w:autoSpaceDN w:val="0"/>
        <w:bidi w:val="0"/>
        <w:adjustRightInd w:val="0"/>
        <w:snapToGrid w:val="0"/>
        <w:spacing w:before="95" w:after="95"/>
        <w:ind w:firstLine="0" w:firstLineChars="0"/>
        <w:textAlignment w:val="auto"/>
        <w:rPr>
          <w:rFonts w:hint="eastAsia"/>
        </w:rPr>
      </w:pPr>
      <w:r>
        <w:rPr>
          <w:rFonts w:hint="eastAsia"/>
        </w:rPr>
        <w:t>方向，通过安排佛山（云浮）产业转移工业园、东海精品钢铁等重大</w:t>
      </w:r>
    </w:p>
    <w:p>
      <w:pPr>
        <w:pStyle w:val="12"/>
        <w:keepNext w:val="0"/>
        <w:keepLines w:val="0"/>
        <w:pageBreakBefore w:val="0"/>
        <w:widowControl w:val="0"/>
        <w:kinsoku/>
        <w:wordWrap/>
        <w:overflowPunct/>
        <w:topLinePunct w:val="0"/>
        <w:autoSpaceDE w:val="0"/>
        <w:autoSpaceDN w:val="0"/>
        <w:bidi w:val="0"/>
        <w:adjustRightInd w:val="0"/>
        <w:snapToGrid w:val="0"/>
        <w:spacing w:before="95" w:after="95"/>
        <w:ind w:firstLine="0" w:firstLineChars="0"/>
        <w:textAlignment w:val="auto"/>
        <w:rPr>
          <w:rFonts w:hint="eastAsia"/>
        </w:rPr>
      </w:pPr>
      <w:r>
        <w:rPr>
          <w:rFonts w:hint="eastAsia"/>
        </w:rPr>
        <w:t>产业项目，有助于提升思劳腰古镇、思劳镇的产业创新活力，而安塘</w:t>
      </w:r>
    </w:p>
    <w:p>
      <w:pPr>
        <w:pStyle w:val="12"/>
        <w:keepNext w:val="0"/>
        <w:keepLines w:val="0"/>
        <w:pageBreakBefore w:val="0"/>
        <w:widowControl w:val="0"/>
        <w:kinsoku/>
        <w:wordWrap/>
        <w:overflowPunct/>
        <w:topLinePunct w:val="0"/>
        <w:autoSpaceDE w:val="0"/>
        <w:autoSpaceDN w:val="0"/>
        <w:bidi w:val="0"/>
        <w:adjustRightInd w:val="0"/>
        <w:snapToGrid w:val="0"/>
        <w:spacing w:before="95" w:after="95"/>
        <w:ind w:firstLine="0" w:firstLineChars="0"/>
        <w:textAlignment w:val="auto"/>
        <w:rPr>
          <w:rFonts w:hint="eastAsia"/>
        </w:rPr>
      </w:pPr>
      <w:r>
        <w:rPr>
          <w:rFonts w:hint="eastAsia"/>
        </w:rPr>
        <w:t>街道则依托安塘石材产业园打造成以绿色石材（建材）加工、商贸为</w:t>
      </w:r>
    </w:p>
    <w:p>
      <w:pPr>
        <w:pStyle w:val="12"/>
        <w:keepNext w:val="0"/>
        <w:keepLines w:val="0"/>
        <w:pageBreakBefore w:val="0"/>
        <w:widowControl w:val="0"/>
        <w:kinsoku/>
        <w:wordWrap/>
        <w:overflowPunct/>
        <w:topLinePunct w:val="0"/>
        <w:autoSpaceDE w:val="0"/>
        <w:autoSpaceDN w:val="0"/>
        <w:bidi w:val="0"/>
        <w:adjustRightInd w:val="0"/>
        <w:snapToGrid w:val="0"/>
        <w:spacing w:before="95" w:after="95"/>
        <w:ind w:firstLine="0" w:firstLineChars="0"/>
        <w:textAlignment w:val="auto"/>
        <w:rPr>
          <w:rFonts w:hint="eastAsia"/>
        </w:rPr>
      </w:pPr>
      <w:r>
        <w:rPr>
          <w:rFonts w:hint="eastAsia"/>
        </w:rPr>
        <w:t>特色的产业小镇。</w:t>
      </w:r>
    </w:p>
    <w:p>
      <w:pPr>
        <w:pStyle w:val="12"/>
        <w:keepNext w:val="0"/>
        <w:keepLines w:val="0"/>
        <w:pageBreakBefore w:val="0"/>
        <w:widowControl w:val="0"/>
        <w:kinsoku/>
        <w:wordWrap/>
        <w:overflowPunct/>
        <w:topLinePunct w:val="0"/>
        <w:autoSpaceDE w:val="0"/>
        <w:autoSpaceDN w:val="0"/>
        <w:bidi w:val="0"/>
        <w:adjustRightInd w:val="0"/>
        <w:snapToGrid w:val="0"/>
        <w:spacing w:before="95" w:after="95"/>
        <w:ind w:firstLine="0" w:firstLineChars="0"/>
        <w:textAlignment w:val="auto"/>
        <w:rPr>
          <w:rFonts w:hint="eastAsia"/>
        </w:rPr>
      </w:pPr>
    </w:p>
    <w:p>
      <w:pPr>
        <w:pStyle w:val="12"/>
        <w:keepNext w:val="0"/>
        <w:keepLines w:val="0"/>
        <w:pageBreakBefore w:val="0"/>
        <w:widowControl w:val="0"/>
        <w:kinsoku/>
        <w:wordWrap/>
        <w:overflowPunct/>
        <w:topLinePunct w:val="0"/>
        <w:autoSpaceDE w:val="0"/>
        <w:autoSpaceDN w:val="0"/>
        <w:bidi w:val="0"/>
        <w:adjustRightInd w:val="0"/>
        <w:snapToGrid w:val="0"/>
        <w:spacing w:before="95" w:after="95"/>
        <w:ind w:firstLine="0" w:firstLineChars="0"/>
        <w:textAlignment w:val="auto"/>
        <w:rPr>
          <w:rFonts w:hint="eastAsia"/>
        </w:rPr>
      </w:pPr>
    </w:p>
    <w:p>
      <w:pPr>
        <w:pStyle w:val="12"/>
        <w:keepNext w:val="0"/>
        <w:keepLines w:val="0"/>
        <w:pageBreakBefore w:val="0"/>
        <w:widowControl w:val="0"/>
        <w:kinsoku/>
        <w:wordWrap/>
        <w:overflowPunct/>
        <w:topLinePunct w:val="0"/>
        <w:autoSpaceDE w:val="0"/>
        <w:autoSpaceDN w:val="0"/>
        <w:bidi w:val="0"/>
        <w:adjustRightInd w:val="0"/>
        <w:snapToGrid w:val="0"/>
        <w:spacing w:before="95" w:after="95"/>
        <w:ind w:firstLine="0" w:firstLineChars="0"/>
        <w:textAlignment w:val="auto"/>
        <w:rPr>
          <w:rFonts w:hint="eastAsia"/>
        </w:rPr>
      </w:pPr>
    </w:p>
    <w:p>
      <w:pPr>
        <w:pStyle w:val="12"/>
        <w:keepNext w:val="0"/>
        <w:keepLines w:val="0"/>
        <w:pageBreakBefore w:val="0"/>
        <w:widowControl w:val="0"/>
        <w:kinsoku/>
        <w:wordWrap/>
        <w:overflowPunct/>
        <w:topLinePunct w:val="0"/>
        <w:autoSpaceDE w:val="0"/>
        <w:autoSpaceDN w:val="0"/>
        <w:bidi w:val="0"/>
        <w:adjustRightInd w:val="0"/>
        <w:snapToGrid w:val="0"/>
        <w:spacing w:before="95" w:after="95"/>
        <w:ind w:firstLine="0" w:firstLineChars="0"/>
        <w:textAlignment w:val="auto"/>
        <w:rPr>
          <w:rFonts w:hint="eastAsia" w:eastAsia="黑体"/>
          <w:sz w:val="30"/>
          <w:szCs w:val="30"/>
          <w:lang w:val="en-US" w:eastAsia="zh-CN"/>
        </w:rPr>
      </w:pPr>
      <w:r>
        <w:rPr>
          <w:rFonts w:hint="eastAsia" w:eastAsia="黑体"/>
          <w:sz w:val="30"/>
          <w:szCs w:val="30"/>
          <w:lang w:val="en-US" w:eastAsia="zh-CN"/>
        </w:rPr>
        <w:t>3、是加速云城重大产业平台落地，推动经济体系优化升级的</w:t>
      </w:r>
    </w:p>
    <w:p>
      <w:pPr>
        <w:pStyle w:val="12"/>
        <w:keepNext w:val="0"/>
        <w:keepLines w:val="0"/>
        <w:pageBreakBefore w:val="0"/>
        <w:widowControl w:val="0"/>
        <w:kinsoku/>
        <w:wordWrap/>
        <w:overflowPunct/>
        <w:topLinePunct w:val="0"/>
        <w:autoSpaceDE w:val="0"/>
        <w:autoSpaceDN w:val="0"/>
        <w:bidi w:val="0"/>
        <w:adjustRightInd w:val="0"/>
        <w:snapToGrid w:val="0"/>
        <w:spacing w:before="95" w:after="95"/>
        <w:ind w:firstLine="0" w:firstLineChars="0"/>
        <w:textAlignment w:val="auto"/>
        <w:rPr>
          <w:rFonts w:hint="eastAsia" w:eastAsia="黑体"/>
          <w:sz w:val="30"/>
          <w:szCs w:val="30"/>
          <w:lang w:val="en-US" w:eastAsia="zh-CN"/>
        </w:rPr>
      </w:pPr>
      <w:r>
        <w:rPr>
          <w:rFonts w:hint="eastAsia" w:eastAsia="黑体"/>
          <w:sz w:val="30"/>
          <w:szCs w:val="30"/>
          <w:lang w:val="en-US" w:eastAsia="zh-CN"/>
        </w:rPr>
        <w:t>关键推手</w:t>
      </w:r>
    </w:p>
    <w:p>
      <w:pPr>
        <w:pStyle w:val="12"/>
        <w:spacing w:before="95" w:after="95"/>
        <w:ind w:firstLine="560"/>
        <w:rPr>
          <w:rFonts w:hint="eastAsia"/>
        </w:rPr>
      </w:pPr>
      <w:r>
        <w:t>《纲要》提出培育壮大乡村旅游、健康养老、休闲体验等新兴领域，促进农业发展方式转变，实现农旅结合、文旅结合、商旅结合的立体乡村旅游发展。云浮全国养老培训示范基地项目位于</w:t>
      </w:r>
      <w:r>
        <w:rPr>
          <w:rFonts w:hint="eastAsia"/>
          <w:lang w:eastAsia="zh-CN"/>
        </w:rPr>
        <w:t>云城区</w:t>
      </w:r>
      <w:r>
        <w:t>石城镇托洞村，是国家养老培训的重点项目之一。该项目以大健康产业为支撑，融合美丽乡村、特色小镇等发展理念，计划建设集传统文化康养、医疗康复、文化教育、特色旅游观光、现代农业采摘加工业等为一体的全国标志性养老培训示范基地和传统文化教育及康养的旅游胜地。</w:t>
      </w:r>
      <w:r>
        <w:rPr>
          <w:rFonts w:hint="eastAsia"/>
        </w:rPr>
        <w:t>本次土地征收成片开发是助力云城区经济高速发展的必要推手。</w:t>
      </w:r>
    </w:p>
    <w:p>
      <w:pPr>
        <w:pStyle w:val="12"/>
        <w:spacing w:before="95" w:after="95"/>
        <w:ind w:firstLine="560"/>
        <w:rPr>
          <w:rFonts w:hint="eastAsia"/>
        </w:rPr>
      </w:pPr>
      <w:r>
        <w:rPr>
          <w:rFonts w:hint="eastAsia"/>
        </w:rPr>
        <w:t>本次成片开发拟安排东海精品钢铁、安塘石材基地、佛山（云浮）产业转移工业园等现代产业园区，有利于加快云城重大产业平台落地实施，通过在园区内配建相关公服配套设施，有助于优化云城区产业经济结构，以产兴城，形成区域增长极，从而带动云城区经济发展，助力云城区 GDP 实现跃升。</w:t>
      </w:r>
    </w:p>
    <w:p>
      <w:pPr>
        <w:pStyle w:val="12"/>
        <w:spacing w:before="95" w:after="95"/>
        <w:ind w:firstLine="560"/>
        <w:rPr>
          <w:rFonts w:hint="eastAsia"/>
        </w:rPr>
      </w:pPr>
      <w:r>
        <w:rPr>
          <w:rFonts w:hint="eastAsia"/>
        </w:rPr>
        <w:t>第一、在重点工业产业平台方面东海精品钢铁项目的建设将有利于云城区打造智能化、绿色化、可持续发展先进钢铁制造示范基地，发挥龙头项目引领作用，推动云浮先进钢铁材料制造与大湾区下游应</w:t>
      </w:r>
    </w:p>
    <w:p>
      <w:pPr>
        <w:pStyle w:val="12"/>
        <w:spacing w:before="95" w:after="95"/>
        <w:ind w:left="0" w:leftChars="0" w:firstLine="0" w:firstLineChars="0"/>
        <w:rPr>
          <w:rFonts w:hint="eastAsia"/>
        </w:rPr>
      </w:pPr>
      <w:r>
        <w:rPr>
          <w:rFonts w:hint="eastAsia"/>
        </w:rPr>
        <w:t>用市场紧密对接，着力打造粤港澳大湾区金属制品生产供应配套基地；安塘石材基地以石材产业为主，计划引导镇区内石材厂生产逐步入园，在镇区东西构建两个石材（绿色建材）加工生产园区，形成镇区内生活+商贸，外围石材（绿色建材）生产的空间布局，为石材企业集聚高质量发展提供了良好的环境；佛山（云浮）产业转移工业园项目以专业机械制造、金属材料加工与制品、新型材料等为主导产业，园区内项目安排认真贯彻云浮市委市政府“一二三四五六”思路举措，坚持“项目是第一抓手”，凝心聚力、加足马力、全力推进省市重点项目建设。</w:t>
      </w:r>
    </w:p>
    <w:p>
      <w:pPr>
        <w:pStyle w:val="12"/>
        <w:spacing w:before="95" w:after="95"/>
        <w:ind w:firstLine="560"/>
        <w:rPr>
          <w:rFonts w:hint="eastAsia"/>
        </w:rPr>
      </w:pPr>
      <w:r>
        <w:rPr>
          <w:rFonts w:hint="eastAsia"/>
        </w:rPr>
        <w:t>第二，本次成片开发也在片区内配建住宅、城市道路、公用设施</w:t>
      </w:r>
    </w:p>
    <w:p>
      <w:pPr>
        <w:pStyle w:val="12"/>
        <w:spacing w:before="95" w:after="95"/>
        <w:ind w:left="0" w:leftChars="0" w:firstLine="0" w:firstLineChars="0"/>
        <w:rPr>
          <w:rFonts w:hint="eastAsia"/>
        </w:rPr>
      </w:pPr>
      <w:r>
        <w:rPr>
          <w:rFonts w:hint="eastAsia"/>
        </w:rPr>
        <w:t>等符合各镇街经济发展的各类项目，也同步配建了各类公益性项目，</w:t>
      </w:r>
    </w:p>
    <w:p>
      <w:pPr>
        <w:pStyle w:val="12"/>
        <w:spacing w:before="95" w:after="95"/>
        <w:ind w:left="0" w:leftChars="0" w:firstLine="0" w:firstLineChars="0"/>
        <w:rPr>
          <w:rFonts w:hint="eastAsia"/>
          <w:lang w:eastAsia="zh-CN"/>
        </w:rPr>
      </w:pPr>
      <w:r>
        <w:rPr>
          <w:rFonts w:hint="eastAsia"/>
        </w:rPr>
        <w:t>促进经济提升的同时也有助于推动片区经济体系的完善与优化升级</w:t>
      </w:r>
      <w:r>
        <w:rPr>
          <w:rFonts w:hint="eastAsia"/>
          <w:lang w:eastAsia="zh-CN"/>
        </w:rPr>
        <w:t>。</w:t>
      </w:r>
    </w:p>
    <w:p>
      <w:pPr>
        <w:pStyle w:val="12"/>
        <w:keepNext w:val="0"/>
        <w:keepLines w:val="0"/>
        <w:pageBreakBefore w:val="0"/>
        <w:widowControl w:val="0"/>
        <w:kinsoku/>
        <w:wordWrap/>
        <w:overflowPunct/>
        <w:topLinePunct w:val="0"/>
        <w:autoSpaceDE w:val="0"/>
        <w:autoSpaceDN w:val="0"/>
        <w:bidi w:val="0"/>
        <w:adjustRightInd w:val="0"/>
        <w:snapToGrid w:val="0"/>
        <w:spacing w:before="95" w:after="95"/>
        <w:ind w:firstLine="0" w:firstLineChars="0"/>
        <w:textAlignment w:val="auto"/>
        <w:rPr>
          <w:rFonts w:hint="eastAsia" w:eastAsia="黑体"/>
          <w:sz w:val="30"/>
          <w:szCs w:val="30"/>
          <w:lang w:val="en-US" w:eastAsia="zh-CN"/>
        </w:rPr>
      </w:pPr>
      <w:r>
        <w:rPr>
          <w:rFonts w:hint="eastAsia" w:eastAsia="黑体"/>
          <w:sz w:val="30"/>
          <w:szCs w:val="30"/>
          <w:lang w:val="en-US" w:eastAsia="zh-CN"/>
        </w:rPr>
        <w:t>4、是提升土地利用效益，保障农民利益的重要抓手</w:t>
      </w:r>
    </w:p>
    <w:p>
      <w:pPr>
        <w:pStyle w:val="12"/>
        <w:spacing w:before="95" w:after="95"/>
        <w:ind w:left="0" w:leftChars="0" w:firstLine="560" w:firstLineChars="200"/>
        <w:rPr>
          <w:rFonts w:hint="eastAsia"/>
          <w:lang w:eastAsia="zh-CN"/>
        </w:rPr>
      </w:pPr>
      <w:r>
        <w:rPr>
          <w:rFonts w:hint="eastAsia"/>
          <w:lang w:eastAsia="zh-CN"/>
        </w:rPr>
        <w:t>目前云城区属于快速城镇化阶段，作为一个复杂而庞大的系统，</w:t>
      </w:r>
    </w:p>
    <w:p>
      <w:pPr>
        <w:pStyle w:val="12"/>
        <w:spacing w:before="95" w:after="95"/>
        <w:ind w:left="0" w:leftChars="0" w:firstLine="0" w:firstLineChars="0"/>
        <w:rPr>
          <w:rFonts w:hint="eastAsia"/>
          <w:lang w:eastAsia="zh-CN"/>
        </w:rPr>
      </w:pPr>
      <w:r>
        <w:rPr>
          <w:rFonts w:hint="eastAsia"/>
          <w:lang w:eastAsia="zh-CN"/>
        </w:rPr>
        <w:t>城市的用地空间布局、功能体系构建需要体现前瞻性、系统性，以支</w:t>
      </w:r>
    </w:p>
    <w:p>
      <w:pPr>
        <w:pStyle w:val="12"/>
        <w:spacing w:before="95" w:after="95"/>
        <w:ind w:left="0" w:leftChars="0" w:firstLine="0" w:firstLineChars="0"/>
        <w:rPr>
          <w:rFonts w:hint="eastAsia"/>
          <w:lang w:eastAsia="zh-CN"/>
        </w:rPr>
      </w:pPr>
      <w:r>
        <w:rPr>
          <w:rFonts w:hint="eastAsia"/>
          <w:lang w:eastAsia="zh-CN"/>
        </w:rPr>
        <w:t>撑城市宏观发展战略。本次土地征收成片开发相较于零散开发方式更</w:t>
      </w:r>
    </w:p>
    <w:p>
      <w:pPr>
        <w:pStyle w:val="12"/>
        <w:spacing w:before="95" w:after="95"/>
        <w:ind w:left="0" w:leftChars="0" w:firstLine="0" w:firstLineChars="0"/>
        <w:rPr>
          <w:rFonts w:hint="eastAsia"/>
          <w:lang w:eastAsia="zh-CN"/>
        </w:rPr>
      </w:pPr>
      <w:r>
        <w:rPr>
          <w:rFonts w:hint="eastAsia"/>
          <w:lang w:eastAsia="zh-CN"/>
        </w:rPr>
        <w:t>有利于云城区统一规划建设，更能承载城市发展战略，有利于节约集</w:t>
      </w:r>
    </w:p>
    <w:p>
      <w:pPr>
        <w:pStyle w:val="12"/>
        <w:spacing w:before="95" w:after="95"/>
        <w:ind w:left="0" w:leftChars="0" w:firstLine="0" w:firstLineChars="0"/>
        <w:rPr>
          <w:rFonts w:hint="eastAsia"/>
          <w:lang w:eastAsia="zh-CN"/>
        </w:rPr>
      </w:pPr>
      <w:r>
        <w:rPr>
          <w:rFonts w:hint="eastAsia"/>
          <w:lang w:eastAsia="zh-CN"/>
        </w:rPr>
        <w:t>约利用土地，提升土地利用效益。通过对各个片区产业发展和资源配</w:t>
      </w:r>
    </w:p>
    <w:p>
      <w:pPr>
        <w:pStyle w:val="12"/>
        <w:spacing w:before="95" w:after="95"/>
        <w:ind w:left="0" w:leftChars="0" w:firstLine="0" w:firstLineChars="0"/>
        <w:rPr>
          <w:rFonts w:hint="eastAsia"/>
          <w:lang w:eastAsia="zh-CN"/>
        </w:rPr>
      </w:pPr>
      <w:r>
        <w:rPr>
          <w:rFonts w:hint="eastAsia"/>
          <w:lang w:eastAsia="zh-CN"/>
        </w:rPr>
        <w:t>置进行合理规划和布局，形成功能齐全的区块，通过合理布置用地空</w:t>
      </w:r>
    </w:p>
    <w:p>
      <w:pPr>
        <w:pStyle w:val="12"/>
        <w:spacing w:before="95" w:after="95"/>
        <w:ind w:left="0" w:leftChars="0" w:firstLine="0" w:firstLineChars="0"/>
        <w:rPr>
          <w:rFonts w:hint="eastAsia"/>
          <w:lang w:eastAsia="zh-CN"/>
        </w:rPr>
      </w:pPr>
      <w:r>
        <w:rPr>
          <w:rFonts w:hint="eastAsia"/>
          <w:lang w:eastAsia="zh-CN"/>
        </w:rPr>
        <w:t>间，可以实现物质生产、商品消费、信息交换等功能，在空间上连续、</w:t>
      </w:r>
    </w:p>
    <w:p>
      <w:pPr>
        <w:pStyle w:val="12"/>
        <w:spacing w:before="95" w:after="95"/>
        <w:ind w:left="0" w:leftChars="0" w:firstLine="0" w:firstLineChars="0"/>
        <w:rPr>
          <w:rFonts w:hint="eastAsia"/>
          <w:lang w:eastAsia="zh-CN"/>
        </w:rPr>
      </w:pPr>
      <w:r>
        <w:rPr>
          <w:rFonts w:hint="eastAsia"/>
          <w:lang w:eastAsia="zh-CN"/>
        </w:rPr>
        <w:t>大面积、系统性地供给城市生产、生活的各类服务功能，充分发挥云</w:t>
      </w:r>
    </w:p>
    <w:p>
      <w:pPr>
        <w:pStyle w:val="12"/>
        <w:spacing w:before="95" w:after="95"/>
        <w:ind w:left="0" w:leftChars="0" w:firstLine="0" w:firstLineChars="0"/>
        <w:rPr>
          <w:rFonts w:hint="eastAsia"/>
          <w:lang w:eastAsia="zh-CN"/>
        </w:rPr>
      </w:pPr>
      <w:r>
        <w:rPr>
          <w:rFonts w:hint="eastAsia"/>
          <w:lang w:eastAsia="zh-CN"/>
        </w:rPr>
        <w:t>城区的集聚效益和区域协同。</w:t>
      </w:r>
    </w:p>
    <w:p>
      <w:pPr>
        <w:pStyle w:val="11"/>
        <w:rPr>
          <w:rFonts w:ascii="Times New Roman" w:hAnsi="Times New Roman"/>
        </w:rPr>
      </w:pPr>
    </w:p>
    <w:p>
      <w:pPr>
        <w:pStyle w:val="11"/>
        <w:rPr>
          <w:rFonts w:ascii="Times New Roman" w:hAnsi="Times New Roman"/>
        </w:rPr>
      </w:pPr>
    </w:p>
    <w:p>
      <w:pPr>
        <w:pStyle w:val="11"/>
        <w:rPr>
          <w:rFonts w:ascii="Times New Roman" w:hAnsi="Times New Roman"/>
        </w:rPr>
      </w:pPr>
    </w:p>
    <w:p>
      <w:pPr>
        <w:pStyle w:val="11"/>
        <w:rPr>
          <w:rFonts w:ascii="Times New Roman" w:hAnsi="Times New Roman"/>
        </w:rPr>
      </w:pPr>
    </w:p>
    <w:p>
      <w:pPr>
        <w:pStyle w:val="11"/>
        <w:rPr>
          <w:rFonts w:ascii="Times New Roman" w:hAnsi="Times New Roman"/>
        </w:rPr>
      </w:pPr>
    </w:p>
    <w:p>
      <w:pPr>
        <w:pStyle w:val="11"/>
        <w:rPr>
          <w:rFonts w:ascii="Times New Roman" w:hAnsi="Times New Roman"/>
        </w:rPr>
      </w:pPr>
    </w:p>
    <w:p>
      <w:pPr>
        <w:pStyle w:val="11"/>
        <w:rPr>
          <w:rFonts w:ascii="Times New Roman" w:hAnsi="Times New Roman"/>
        </w:rPr>
      </w:pPr>
      <w:r>
        <w:rPr>
          <w:rFonts w:ascii="Times New Roman" w:hAnsi="Times New Roman"/>
        </w:rPr>
        <w:t>（二）合规性分析</w:t>
      </w:r>
    </w:p>
    <w:p>
      <w:pPr>
        <w:pStyle w:val="12"/>
        <w:spacing w:before="95" w:after="95"/>
        <w:ind w:firstLine="560"/>
      </w:pPr>
      <w:r>
        <w:t>根据《标准》、《通知》等相关政策文件要求，本方案充分衔接有关内容，规则符合情况详见表2。</w:t>
      </w:r>
    </w:p>
    <w:p>
      <w:pPr>
        <w:pStyle w:val="12"/>
        <w:numPr>
          <w:ilvl w:val="0"/>
          <w:numId w:val="2"/>
        </w:numPr>
        <w:spacing w:before="95" w:after="0" w:afterLines="0"/>
        <w:ind w:left="130" w:hanging="130" w:firstLineChars="0"/>
        <w:jc w:val="center"/>
        <w:rPr>
          <w:rFonts w:eastAsia="黑体"/>
          <w:b/>
          <w:sz w:val="24"/>
        </w:rPr>
      </w:pPr>
      <w:r>
        <w:rPr>
          <w:rFonts w:eastAsia="黑体"/>
          <w:b/>
          <w:sz w:val="24"/>
        </w:rPr>
        <w:t>成片开发方案合规性分析表</w:t>
      </w:r>
    </w:p>
    <w:tbl>
      <w:tblPr>
        <w:tblStyle w:val="7"/>
        <w:tblW w:w="8296" w:type="dxa"/>
        <w:tblInd w:w="0" w:type="dxa"/>
        <w:tblLayout w:type="fixed"/>
        <w:tblCellMar>
          <w:top w:w="0" w:type="dxa"/>
          <w:left w:w="108" w:type="dxa"/>
          <w:bottom w:w="0" w:type="dxa"/>
          <w:right w:w="108" w:type="dxa"/>
        </w:tblCellMar>
      </w:tblPr>
      <w:tblGrid>
        <w:gridCol w:w="563"/>
        <w:gridCol w:w="2268"/>
        <w:gridCol w:w="5465"/>
      </w:tblGrid>
      <w:tr>
        <w:tblPrEx>
          <w:tblCellMar>
            <w:top w:w="0" w:type="dxa"/>
            <w:left w:w="108" w:type="dxa"/>
            <w:bottom w:w="0" w:type="dxa"/>
            <w:right w:w="108" w:type="dxa"/>
          </w:tblCellMar>
        </w:tblPrEx>
        <w:trPr>
          <w:trHeight w:val="288" w:hRule="atLeast"/>
          <w:tblHeader/>
        </w:trPr>
        <w:tc>
          <w:tcPr>
            <w:tcW w:w="563" w:type="dxa"/>
            <w:tcBorders>
              <w:top w:val="single" w:color="auto" w:sz="4" w:space="0"/>
              <w:left w:val="single" w:color="auto" w:sz="4" w:space="0"/>
              <w:bottom w:val="single" w:color="auto" w:sz="4" w:space="0"/>
              <w:right w:val="single" w:color="auto" w:sz="4" w:space="0"/>
            </w:tcBorders>
            <w:vAlign w:val="center"/>
          </w:tcPr>
          <w:p>
            <w:pPr>
              <w:widowControl/>
              <w:spacing w:before="0" w:after="0" w:line="300" w:lineRule="auto"/>
              <w:ind w:firstLine="0" w:firstLineChars="0"/>
              <w:jc w:val="center"/>
              <w:rPr>
                <w:b/>
                <w:color w:val="000000"/>
                <w:kern w:val="0"/>
                <w:sz w:val="24"/>
                <w:szCs w:val="24"/>
              </w:rPr>
            </w:pPr>
            <w:r>
              <w:rPr>
                <w:b/>
                <w:color w:val="000000"/>
                <w:kern w:val="0"/>
                <w:sz w:val="24"/>
                <w:szCs w:val="24"/>
              </w:rPr>
              <w:t>序号</w:t>
            </w:r>
          </w:p>
        </w:tc>
        <w:tc>
          <w:tcPr>
            <w:tcW w:w="2268" w:type="dxa"/>
            <w:tcBorders>
              <w:top w:val="single" w:color="auto" w:sz="4" w:space="0"/>
              <w:left w:val="nil"/>
              <w:bottom w:val="single" w:color="auto" w:sz="4" w:space="0"/>
              <w:right w:val="single" w:color="auto" w:sz="4" w:space="0"/>
            </w:tcBorders>
            <w:vAlign w:val="center"/>
          </w:tcPr>
          <w:p>
            <w:pPr>
              <w:widowControl/>
              <w:spacing w:before="0" w:after="0" w:line="300" w:lineRule="auto"/>
              <w:ind w:firstLine="0" w:firstLineChars="0"/>
              <w:jc w:val="center"/>
              <w:rPr>
                <w:b/>
                <w:color w:val="000000"/>
                <w:kern w:val="0"/>
                <w:sz w:val="24"/>
                <w:szCs w:val="24"/>
              </w:rPr>
            </w:pPr>
            <w:r>
              <w:rPr>
                <w:b/>
                <w:color w:val="000000"/>
                <w:kern w:val="0"/>
                <w:sz w:val="24"/>
                <w:szCs w:val="24"/>
              </w:rPr>
              <w:t>土地征收成片开发方案衔接内容</w:t>
            </w:r>
          </w:p>
        </w:tc>
        <w:tc>
          <w:tcPr>
            <w:tcW w:w="5465" w:type="dxa"/>
            <w:tcBorders>
              <w:top w:val="single" w:color="auto" w:sz="4" w:space="0"/>
              <w:left w:val="nil"/>
              <w:bottom w:val="single" w:color="auto" w:sz="4" w:space="0"/>
              <w:right w:val="single" w:color="auto" w:sz="4" w:space="0"/>
            </w:tcBorders>
            <w:vAlign w:val="center"/>
          </w:tcPr>
          <w:p>
            <w:pPr>
              <w:widowControl/>
              <w:spacing w:before="0" w:after="0" w:line="300" w:lineRule="auto"/>
              <w:ind w:firstLine="0" w:firstLineChars="0"/>
              <w:jc w:val="center"/>
              <w:rPr>
                <w:b/>
                <w:color w:val="000000"/>
                <w:kern w:val="0"/>
                <w:sz w:val="24"/>
                <w:szCs w:val="24"/>
              </w:rPr>
            </w:pPr>
            <w:r>
              <w:rPr>
                <w:rFonts w:hint="eastAsia"/>
                <w:b/>
                <w:color w:val="000000"/>
                <w:kern w:val="0"/>
                <w:sz w:val="24"/>
                <w:szCs w:val="24"/>
                <w:lang w:eastAsia="zh-CN"/>
              </w:rPr>
              <w:t>云城区</w:t>
            </w:r>
            <w:r>
              <w:rPr>
                <w:b/>
                <w:color w:val="000000"/>
                <w:kern w:val="0"/>
                <w:sz w:val="24"/>
                <w:szCs w:val="24"/>
              </w:rPr>
              <w:t>202</w:t>
            </w:r>
            <w:r>
              <w:rPr>
                <w:rFonts w:hint="eastAsia"/>
                <w:b/>
                <w:color w:val="000000"/>
                <w:kern w:val="0"/>
                <w:sz w:val="24"/>
                <w:szCs w:val="24"/>
                <w:lang w:val="en-US" w:eastAsia="zh-CN"/>
              </w:rPr>
              <w:t>2</w:t>
            </w:r>
            <w:r>
              <w:rPr>
                <w:b/>
                <w:color w:val="000000"/>
                <w:kern w:val="0"/>
                <w:sz w:val="24"/>
                <w:szCs w:val="24"/>
              </w:rPr>
              <w:t>年度土地征收成片开发方案符合情况</w:t>
            </w:r>
          </w:p>
        </w:tc>
      </w:tr>
      <w:tr>
        <w:tblPrEx>
          <w:tblCellMar>
            <w:top w:w="0" w:type="dxa"/>
            <w:left w:w="108" w:type="dxa"/>
            <w:bottom w:w="0" w:type="dxa"/>
            <w:right w:w="108" w:type="dxa"/>
          </w:tblCellMar>
        </w:tblPrEx>
        <w:trPr>
          <w:trHeight w:val="288" w:hRule="atLeast"/>
        </w:trPr>
        <w:tc>
          <w:tcPr>
            <w:tcW w:w="563" w:type="dxa"/>
            <w:tcBorders>
              <w:top w:val="nil"/>
              <w:left w:val="single" w:color="auto" w:sz="4" w:space="0"/>
              <w:bottom w:val="single" w:color="auto" w:sz="4" w:space="0"/>
              <w:right w:val="single" w:color="auto" w:sz="4" w:space="0"/>
            </w:tcBorders>
            <w:vAlign w:val="center"/>
          </w:tcPr>
          <w:p>
            <w:pPr>
              <w:widowControl/>
              <w:spacing w:before="0" w:after="0" w:line="300" w:lineRule="auto"/>
              <w:ind w:firstLine="0" w:firstLineChars="0"/>
              <w:jc w:val="center"/>
              <w:rPr>
                <w:rFonts w:eastAsia="等线"/>
                <w:color w:val="000000"/>
                <w:kern w:val="0"/>
                <w:sz w:val="24"/>
                <w:szCs w:val="24"/>
              </w:rPr>
            </w:pPr>
            <w:r>
              <w:rPr>
                <w:rFonts w:eastAsia="等线"/>
                <w:color w:val="000000"/>
                <w:kern w:val="0"/>
                <w:sz w:val="24"/>
                <w:szCs w:val="24"/>
              </w:rPr>
              <w:t>1</w:t>
            </w:r>
          </w:p>
        </w:tc>
        <w:tc>
          <w:tcPr>
            <w:tcW w:w="2268" w:type="dxa"/>
            <w:tcBorders>
              <w:top w:val="nil"/>
              <w:left w:val="nil"/>
              <w:bottom w:val="single" w:color="auto" w:sz="4" w:space="0"/>
              <w:right w:val="single" w:color="auto" w:sz="4" w:space="0"/>
            </w:tcBorders>
            <w:vAlign w:val="center"/>
          </w:tcPr>
          <w:p>
            <w:pPr>
              <w:widowControl/>
              <w:spacing w:before="0" w:after="0" w:line="300" w:lineRule="auto"/>
              <w:ind w:firstLine="0" w:firstLineChars="0"/>
              <w:jc w:val="center"/>
              <w:rPr>
                <w:color w:val="000000"/>
                <w:kern w:val="0"/>
                <w:sz w:val="24"/>
                <w:szCs w:val="24"/>
              </w:rPr>
            </w:pPr>
            <w:r>
              <w:rPr>
                <w:color w:val="000000"/>
                <w:kern w:val="0"/>
                <w:sz w:val="24"/>
                <w:szCs w:val="24"/>
              </w:rPr>
              <w:t>在编国土空间规划</w:t>
            </w:r>
          </w:p>
        </w:tc>
        <w:tc>
          <w:tcPr>
            <w:tcW w:w="5465" w:type="dxa"/>
            <w:tcBorders>
              <w:top w:val="nil"/>
              <w:left w:val="nil"/>
              <w:bottom w:val="single" w:color="auto" w:sz="4" w:space="0"/>
              <w:right w:val="single" w:color="auto" w:sz="4" w:space="0"/>
            </w:tcBorders>
            <w:vAlign w:val="center"/>
          </w:tcPr>
          <w:p>
            <w:pPr>
              <w:widowControl/>
              <w:spacing w:before="0" w:after="0" w:line="300" w:lineRule="auto"/>
              <w:ind w:firstLine="0" w:firstLineChars="0"/>
              <w:jc w:val="center"/>
              <w:rPr>
                <w:color w:val="000000"/>
                <w:kern w:val="0"/>
                <w:sz w:val="24"/>
                <w:szCs w:val="24"/>
              </w:rPr>
            </w:pPr>
            <w:r>
              <w:rPr>
                <w:color w:val="000000"/>
                <w:kern w:val="0"/>
                <w:sz w:val="24"/>
                <w:szCs w:val="24"/>
              </w:rPr>
              <w:t>不涉及永久基本农田、生态保护红线；成片开发范围均位于集中建设区内</w:t>
            </w:r>
          </w:p>
        </w:tc>
      </w:tr>
      <w:tr>
        <w:tblPrEx>
          <w:tblCellMar>
            <w:top w:w="0" w:type="dxa"/>
            <w:left w:w="108" w:type="dxa"/>
            <w:bottom w:w="0" w:type="dxa"/>
            <w:right w:w="108" w:type="dxa"/>
          </w:tblCellMar>
        </w:tblPrEx>
        <w:trPr>
          <w:trHeight w:val="288" w:hRule="atLeast"/>
        </w:trPr>
        <w:tc>
          <w:tcPr>
            <w:tcW w:w="563" w:type="dxa"/>
            <w:tcBorders>
              <w:top w:val="nil"/>
              <w:left w:val="single" w:color="auto" w:sz="4" w:space="0"/>
              <w:bottom w:val="single" w:color="auto" w:sz="4" w:space="0"/>
              <w:right w:val="single" w:color="auto" w:sz="4" w:space="0"/>
            </w:tcBorders>
            <w:vAlign w:val="center"/>
          </w:tcPr>
          <w:p>
            <w:pPr>
              <w:widowControl/>
              <w:spacing w:before="0" w:after="0" w:line="300" w:lineRule="auto"/>
              <w:ind w:firstLine="0" w:firstLineChars="0"/>
              <w:jc w:val="center"/>
              <w:rPr>
                <w:rFonts w:eastAsia="等线"/>
                <w:color w:val="000000"/>
                <w:kern w:val="0"/>
                <w:sz w:val="24"/>
                <w:szCs w:val="24"/>
              </w:rPr>
            </w:pPr>
            <w:r>
              <w:rPr>
                <w:rFonts w:eastAsia="等线"/>
                <w:color w:val="000000"/>
                <w:kern w:val="0"/>
                <w:sz w:val="24"/>
                <w:szCs w:val="24"/>
              </w:rPr>
              <w:t>2</w:t>
            </w:r>
          </w:p>
        </w:tc>
        <w:tc>
          <w:tcPr>
            <w:tcW w:w="2268" w:type="dxa"/>
            <w:tcBorders>
              <w:top w:val="nil"/>
              <w:left w:val="nil"/>
              <w:bottom w:val="single" w:color="auto" w:sz="4" w:space="0"/>
              <w:right w:val="single" w:color="auto" w:sz="4" w:space="0"/>
            </w:tcBorders>
            <w:vAlign w:val="center"/>
          </w:tcPr>
          <w:p>
            <w:pPr>
              <w:widowControl/>
              <w:spacing w:before="0" w:after="0" w:line="300" w:lineRule="auto"/>
              <w:ind w:firstLine="0" w:firstLineChars="0"/>
              <w:jc w:val="center"/>
              <w:rPr>
                <w:color w:val="000000"/>
                <w:kern w:val="0"/>
                <w:sz w:val="24"/>
                <w:szCs w:val="24"/>
              </w:rPr>
            </w:pPr>
            <w:r>
              <w:rPr>
                <w:color w:val="000000"/>
                <w:kern w:val="0"/>
                <w:sz w:val="24"/>
                <w:szCs w:val="24"/>
              </w:rPr>
              <w:t>土地利用效率</w:t>
            </w:r>
          </w:p>
        </w:tc>
        <w:tc>
          <w:tcPr>
            <w:tcW w:w="5465" w:type="dxa"/>
            <w:tcBorders>
              <w:top w:val="nil"/>
              <w:left w:val="nil"/>
              <w:bottom w:val="single" w:color="auto" w:sz="4" w:space="0"/>
              <w:right w:val="single" w:color="auto" w:sz="4" w:space="0"/>
            </w:tcBorders>
            <w:vAlign w:val="center"/>
          </w:tcPr>
          <w:p>
            <w:pPr>
              <w:widowControl/>
              <w:spacing w:before="0" w:after="0" w:line="300" w:lineRule="auto"/>
              <w:ind w:firstLine="0" w:firstLineChars="0"/>
              <w:jc w:val="center"/>
              <w:rPr>
                <w:color w:val="000000"/>
                <w:kern w:val="0"/>
                <w:sz w:val="24"/>
                <w:szCs w:val="24"/>
              </w:rPr>
            </w:pPr>
            <w:r>
              <w:rPr>
                <w:color w:val="000000"/>
                <w:kern w:val="0"/>
                <w:sz w:val="24"/>
                <w:szCs w:val="24"/>
              </w:rPr>
              <w:t>供地率大于60%，土地闲置率低于5%</w:t>
            </w:r>
          </w:p>
        </w:tc>
      </w:tr>
      <w:tr>
        <w:tblPrEx>
          <w:tblCellMar>
            <w:top w:w="0" w:type="dxa"/>
            <w:left w:w="108" w:type="dxa"/>
            <w:bottom w:w="0" w:type="dxa"/>
            <w:right w:w="108" w:type="dxa"/>
          </w:tblCellMar>
        </w:tblPrEx>
        <w:trPr>
          <w:trHeight w:val="288" w:hRule="atLeast"/>
        </w:trPr>
        <w:tc>
          <w:tcPr>
            <w:tcW w:w="563" w:type="dxa"/>
            <w:tcBorders>
              <w:top w:val="nil"/>
              <w:left w:val="single" w:color="auto" w:sz="4" w:space="0"/>
              <w:bottom w:val="single" w:color="auto" w:sz="4" w:space="0"/>
              <w:right w:val="single" w:color="auto" w:sz="4" w:space="0"/>
            </w:tcBorders>
            <w:vAlign w:val="center"/>
          </w:tcPr>
          <w:p>
            <w:pPr>
              <w:widowControl/>
              <w:spacing w:before="0" w:after="0" w:line="300" w:lineRule="auto"/>
              <w:ind w:firstLine="0" w:firstLineChars="0"/>
              <w:jc w:val="center"/>
              <w:rPr>
                <w:rFonts w:eastAsia="等线"/>
                <w:color w:val="000000"/>
                <w:kern w:val="0"/>
                <w:sz w:val="24"/>
                <w:szCs w:val="24"/>
              </w:rPr>
            </w:pPr>
            <w:r>
              <w:rPr>
                <w:rFonts w:eastAsia="等线"/>
                <w:color w:val="000000"/>
                <w:kern w:val="0"/>
                <w:sz w:val="24"/>
                <w:szCs w:val="24"/>
              </w:rPr>
              <w:t>3</w:t>
            </w:r>
          </w:p>
        </w:tc>
        <w:tc>
          <w:tcPr>
            <w:tcW w:w="2268" w:type="dxa"/>
            <w:tcBorders>
              <w:top w:val="nil"/>
              <w:left w:val="nil"/>
              <w:bottom w:val="single" w:color="auto" w:sz="4" w:space="0"/>
              <w:right w:val="single" w:color="auto" w:sz="4" w:space="0"/>
            </w:tcBorders>
            <w:vAlign w:val="center"/>
          </w:tcPr>
          <w:p>
            <w:pPr>
              <w:widowControl/>
              <w:spacing w:before="0" w:after="0" w:line="300" w:lineRule="auto"/>
              <w:ind w:firstLine="0" w:firstLineChars="0"/>
              <w:jc w:val="center"/>
              <w:rPr>
                <w:color w:val="000000"/>
                <w:kern w:val="0"/>
                <w:sz w:val="24"/>
                <w:szCs w:val="24"/>
              </w:rPr>
            </w:pPr>
            <w:r>
              <w:rPr>
                <w:color w:val="000000"/>
                <w:kern w:val="0"/>
                <w:sz w:val="24"/>
                <w:szCs w:val="24"/>
              </w:rPr>
              <w:t>土地利用总体规划、城市（镇）总体规划</w:t>
            </w:r>
          </w:p>
        </w:tc>
        <w:tc>
          <w:tcPr>
            <w:tcW w:w="5465" w:type="dxa"/>
            <w:tcBorders>
              <w:top w:val="nil"/>
              <w:left w:val="nil"/>
              <w:bottom w:val="single" w:color="auto" w:sz="4" w:space="0"/>
              <w:right w:val="single" w:color="auto" w:sz="4" w:space="0"/>
            </w:tcBorders>
            <w:vAlign w:val="center"/>
          </w:tcPr>
          <w:p>
            <w:pPr>
              <w:widowControl/>
              <w:spacing w:before="0" w:after="0" w:line="300" w:lineRule="auto"/>
              <w:ind w:firstLine="0" w:firstLineChars="0"/>
              <w:jc w:val="center"/>
              <w:rPr>
                <w:color w:val="000000"/>
                <w:kern w:val="0"/>
                <w:sz w:val="24"/>
                <w:szCs w:val="24"/>
              </w:rPr>
            </w:pPr>
            <w:r>
              <w:rPr>
                <w:color w:val="000000"/>
                <w:kern w:val="0"/>
                <w:sz w:val="24"/>
                <w:szCs w:val="24"/>
              </w:rPr>
              <w:t>云浮市</w:t>
            </w:r>
            <w:r>
              <w:rPr>
                <w:rFonts w:hint="eastAsia"/>
                <w:color w:val="000000"/>
                <w:kern w:val="0"/>
                <w:sz w:val="24"/>
                <w:szCs w:val="24"/>
                <w:lang w:eastAsia="zh-CN"/>
              </w:rPr>
              <w:t>云城区</w:t>
            </w:r>
            <w:r>
              <w:rPr>
                <w:color w:val="000000"/>
                <w:kern w:val="0"/>
                <w:sz w:val="24"/>
                <w:szCs w:val="24"/>
              </w:rPr>
              <w:t>绿色矿山产业园一期片区于城市（镇）总体规划确定的建设用地范围内；石城南部片区位于土地利用总体规划确定的城镇建设用地范围内</w:t>
            </w:r>
          </w:p>
        </w:tc>
      </w:tr>
      <w:tr>
        <w:tblPrEx>
          <w:tblCellMar>
            <w:top w:w="0" w:type="dxa"/>
            <w:left w:w="108" w:type="dxa"/>
            <w:bottom w:w="0" w:type="dxa"/>
            <w:right w:w="108" w:type="dxa"/>
          </w:tblCellMar>
        </w:tblPrEx>
        <w:trPr>
          <w:trHeight w:val="288" w:hRule="atLeast"/>
        </w:trPr>
        <w:tc>
          <w:tcPr>
            <w:tcW w:w="563" w:type="dxa"/>
            <w:tcBorders>
              <w:top w:val="nil"/>
              <w:left w:val="single" w:color="auto" w:sz="4" w:space="0"/>
              <w:bottom w:val="single" w:color="auto" w:sz="4" w:space="0"/>
              <w:right w:val="single" w:color="auto" w:sz="4" w:space="0"/>
            </w:tcBorders>
            <w:vAlign w:val="center"/>
          </w:tcPr>
          <w:p>
            <w:pPr>
              <w:widowControl/>
              <w:spacing w:before="0" w:after="0" w:line="300" w:lineRule="auto"/>
              <w:ind w:firstLine="0" w:firstLineChars="0"/>
              <w:jc w:val="center"/>
              <w:rPr>
                <w:rFonts w:eastAsia="等线"/>
                <w:color w:val="000000"/>
                <w:kern w:val="0"/>
                <w:sz w:val="24"/>
                <w:szCs w:val="24"/>
              </w:rPr>
            </w:pPr>
            <w:r>
              <w:rPr>
                <w:rFonts w:eastAsia="等线"/>
                <w:color w:val="000000"/>
                <w:kern w:val="0"/>
                <w:sz w:val="24"/>
                <w:szCs w:val="24"/>
              </w:rPr>
              <w:t>4</w:t>
            </w:r>
          </w:p>
        </w:tc>
        <w:tc>
          <w:tcPr>
            <w:tcW w:w="2268" w:type="dxa"/>
            <w:tcBorders>
              <w:top w:val="nil"/>
              <w:left w:val="nil"/>
              <w:bottom w:val="single" w:color="auto" w:sz="4" w:space="0"/>
              <w:right w:val="single" w:color="auto" w:sz="4" w:space="0"/>
            </w:tcBorders>
            <w:vAlign w:val="center"/>
          </w:tcPr>
          <w:p>
            <w:pPr>
              <w:widowControl/>
              <w:spacing w:before="0" w:after="0" w:line="300" w:lineRule="auto"/>
              <w:ind w:firstLine="0" w:firstLineChars="0"/>
              <w:jc w:val="center"/>
              <w:rPr>
                <w:color w:val="000000"/>
                <w:kern w:val="0"/>
                <w:sz w:val="24"/>
                <w:szCs w:val="24"/>
              </w:rPr>
            </w:pPr>
            <w:r>
              <w:rPr>
                <w:color w:val="000000"/>
                <w:kern w:val="0"/>
                <w:sz w:val="24"/>
                <w:szCs w:val="24"/>
              </w:rPr>
              <w:t>公益性用地占比、拟实施土地征收成片开发占比</w:t>
            </w:r>
          </w:p>
        </w:tc>
        <w:tc>
          <w:tcPr>
            <w:tcW w:w="5465" w:type="dxa"/>
            <w:tcBorders>
              <w:top w:val="nil"/>
              <w:left w:val="nil"/>
              <w:bottom w:val="single" w:color="auto" w:sz="4" w:space="0"/>
              <w:right w:val="single" w:color="auto" w:sz="4" w:space="0"/>
            </w:tcBorders>
            <w:vAlign w:val="center"/>
          </w:tcPr>
          <w:p>
            <w:pPr>
              <w:widowControl/>
              <w:spacing w:before="0" w:after="0" w:line="300" w:lineRule="auto"/>
              <w:ind w:firstLine="0" w:firstLineChars="0"/>
              <w:jc w:val="center"/>
              <w:rPr>
                <w:color w:val="000000"/>
                <w:kern w:val="0"/>
                <w:sz w:val="24"/>
                <w:szCs w:val="24"/>
              </w:rPr>
            </w:pPr>
            <w:r>
              <w:rPr>
                <w:color w:val="000000"/>
                <w:kern w:val="0"/>
                <w:sz w:val="24"/>
                <w:szCs w:val="24"/>
              </w:rPr>
              <w:t>各片区公益性用地占比均达40%；拟实施土地征收成片开发面积均达60%</w:t>
            </w:r>
          </w:p>
        </w:tc>
      </w:tr>
      <w:tr>
        <w:tblPrEx>
          <w:tblCellMar>
            <w:top w:w="0" w:type="dxa"/>
            <w:left w:w="108" w:type="dxa"/>
            <w:bottom w:w="0" w:type="dxa"/>
            <w:right w:w="108" w:type="dxa"/>
          </w:tblCellMar>
        </w:tblPrEx>
        <w:trPr>
          <w:trHeight w:val="288" w:hRule="atLeast"/>
        </w:trPr>
        <w:tc>
          <w:tcPr>
            <w:tcW w:w="563" w:type="dxa"/>
            <w:tcBorders>
              <w:top w:val="nil"/>
              <w:left w:val="single" w:color="auto" w:sz="4" w:space="0"/>
              <w:bottom w:val="single" w:color="auto" w:sz="4" w:space="0"/>
              <w:right w:val="single" w:color="auto" w:sz="4" w:space="0"/>
            </w:tcBorders>
            <w:vAlign w:val="center"/>
          </w:tcPr>
          <w:p>
            <w:pPr>
              <w:widowControl/>
              <w:spacing w:before="0" w:after="0" w:line="300" w:lineRule="auto"/>
              <w:ind w:firstLine="0" w:firstLineChars="0"/>
              <w:jc w:val="center"/>
              <w:rPr>
                <w:rFonts w:eastAsia="等线"/>
                <w:color w:val="000000"/>
                <w:kern w:val="0"/>
                <w:sz w:val="24"/>
                <w:szCs w:val="24"/>
              </w:rPr>
            </w:pPr>
            <w:r>
              <w:rPr>
                <w:rFonts w:eastAsia="等线"/>
                <w:color w:val="000000"/>
                <w:kern w:val="0"/>
                <w:sz w:val="24"/>
                <w:szCs w:val="24"/>
              </w:rPr>
              <w:t>5</w:t>
            </w:r>
          </w:p>
        </w:tc>
        <w:tc>
          <w:tcPr>
            <w:tcW w:w="2268" w:type="dxa"/>
            <w:tcBorders>
              <w:top w:val="nil"/>
              <w:left w:val="nil"/>
              <w:bottom w:val="single" w:color="auto" w:sz="4" w:space="0"/>
              <w:right w:val="single" w:color="auto" w:sz="4" w:space="0"/>
            </w:tcBorders>
            <w:vAlign w:val="center"/>
          </w:tcPr>
          <w:p>
            <w:pPr>
              <w:widowControl/>
              <w:spacing w:before="0" w:after="0" w:line="300" w:lineRule="auto"/>
              <w:ind w:firstLine="0" w:firstLineChars="0"/>
              <w:jc w:val="center"/>
              <w:rPr>
                <w:color w:val="000000"/>
                <w:kern w:val="0"/>
                <w:sz w:val="24"/>
                <w:szCs w:val="24"/>
              </w:rPr>
            </w:pPr>
            <w:r>
              <w:rPr>
                <w:color w:val="000000"/>
                <w:kern w:val="0"/>
                <w:sz w:val="24"/>
                <w:szCs w:val="24"/>
              </w:rPr>
              <w:t>国民经济和社会发展年度计划</w:t>
            </w:r>
          </w:p>
        </w:tc>
        <w:tc>
          <w:tcPr>
            <w:tcW w:w="5465" w:type="dxa"/>
            <w:tcBorders>
              <w:top w:val="nil"/>
              <w:left w:val="nil"/>
              <w:bottom w:val="single" w:color="auto" w:sz="4" w:space="0"/>
              <w:right w:val="single" w:color="auto" w:sz="4" w:space="0"/>
            </w:tcBorders>
            <w:vAlign w:val="center"/>
          </w:tcPr>
          <w:p>
            <w:pPr>
              <w:widowControl/>
              <w:spacing w:before="0" w:after="0" w:line="300" w:lineRule="auto"/>
              <w:ind w:firstLine="0" w:firstLineChars="0"/>
              <w:jc w:val="center"/>
              <w:rPr>
                <w:color w:val="000000"/>
                <w:kern w:val="0"/>
                <w:sz w:val="24"/>
                <w:szCs w:val="24"/>
              </w:rPr>
            </w:pPr>
            <w:r>
              <w:rPr>
                <w:color w:val="000000"/>
                <w:kern w:val="0"/>
                <w:sz w:val="24"/>
                <w:szCs w:val="24"/>
              </w:rPr>
              <w:t>拟实施土地征收成片开发项目均已纳入国民经济和社会发展年度计划</w:t>
            </w:r>
          </w:p>
        </w:tc>
      </w:tr>
    </w:tbl>
    <w:p>
      <w:pPr>
        <w:pStyle w:val="10"/>
        <w:numPr>
          <w:ilvl w:val="0"/>
          <w:numId w:val="0"/>
        </w:numPr>
        <w:outlineLvl w:val="9"/>
        <w:rPr>
          <w:rFonts w:ascii="Times New Roman" w:hAnsi="Times New Roman"/>
        </w:rPr>
      </w:pPr>
    </w:p>
    <w:p>
      <w:pPr>
        <w:rPr>
          <w:rFonts w:ascii="Times New Roman" w:hAnsi="Times New Roman"/>
        </w:rPr>
      </w:pPr>
      <w:r>
        <w:rPr>
          <w:rFonts w:ascii="Times New Roman" w:hAnsi="Times New Roman"/>
        </w:rPr>
        <w:br w:type="page"/>
      </w:r>
    </w:p>
    <w:p>
      <w:pPr>
        <w:pStyle w:val="10"/>
        <w:keepNext w:val="0"/>
        <w:keepLines w:val="0"/>
        <w:pageBreakBefore w:val="0"/>
        <w:widowControl/>
        <w:kinsoku/>
        <w:wordWrap/>
        <w:overflowPunct/>
        <w:topLinePunct w:val="0"/>
        <w:autoSpaceDE/>
        <w:autoSpaceDN/>
        <w:bidi w:val="0"/>
        <w:adjustRightInd/>
        <w:snapToGrid/>
        <w:spacing w:after="287" w:afterLines="75"/>
        <w:ind w:left="0"/>
        <w:textAlignment w:val="auto"/>
        <w:rPr>
          <w:rFonts w:ascii="Times New Roman" w:hAnsi="Times New Roman"/>
        </w:rPr>
      </w:pPr>
      <w:r>
        <w:rPr>
          <w:rFonts w:ascii="Times New Roman" w:hAnsi="Times New Roman"/>
        </w:rPr>
        <w:t>开发用途与公益性用地情况</w:t>
      </w:r>
    </w:p>
    <w:p>
      <w:pPr>
        <w:pStyle w:val="11"/>
        <w:rPr>
          <w:rFonts w:ascii="Times New Roman" w:hAnsi="Times New Roman"/>
        </w:rPr>
      </w:pPr>
      <w:r>
        <w:rPr>
          <w:rFonts w:ascii="Times New Roman" w:hAnsi="Times New Roman"/>
        </w:rPr>
        <w:t>（一）开发用途</w:t>
      </w:r>
    </w:p>
    <w:p>
      <w:pPr>
        <w:pStyle w:val="12"/>
        <w:spacing w:before="95" w:after="95"/>
        <w:ind w:firstLine="560"/>
      </w:pPr>
      <w:r>
        <w:rPr>
          <w:rFonts w:hint="eastAsia"/>
        </w:rPr>
        <w:t>本次云城区土地征收成片开发范围拟开发面积共 179.8304 公顷，主要用途分别为工业用地、城市道路用地、防护绿地、供水用地等等</w:t>
      </w:r>
      <w:r>
        <w:rPr>
          <w:rFonts w:hint="eastAsia"/>
          <w:lang w:eastAsia="zh-CN"/>
        </w:rPr>
        <w:t>。</w:t>
      </w:r>
      <w:r>
        <w:t>土地征收成片开发范围内各片区开发用途如下表所示：</w:t>
      </w:r>
    </w:p>
    <w:p>
      <w:pPr>
        <w:pStyle w:val="12"/>
        <w:numPr>
          <w:ilvl w:val="0"/>
          <w:numId w:val="2"/>
        </w:numPr>
        <w:spacing w:before="95" w:after="0" w:afterLines="0"/>
        <w:ind w:left="130" w:hanging="130" w:firstLineChars="0"/>
        <w:jc w:val="center"/>
        <w:rPr>
          <w:rFonts w:eastAsia="黑体"/>
          <w:b/>
          <w:sz w:val="24"/>
        </w:rPr>
      </w:pPr>
      <w:r>
        <w:rPr>
          <w:rFonts w:eastAsia="黑体"/>
          <w:b/>
          <w:sz w:val="24"/>
        </w:rPr>
        <w:t>主要开发用途一览表</w:t>
      </w:r>
    </w:p>
    <w:tbl>
      <w:tblPr>
        <w:tblStyle w:val="7"/>
        <w:tblW w:w="98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45"/>
        <w:gridCol w:w="2336"/>
        <w:gridCol w:w="2267"/>
        <w:gridCol w:w="1969"/>
        <w:gridCol w:w="2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311" w:hRule="atLeast"/>
          <w:tblHeader/>
          <w:jc w:val="center"/>
        </w:trPr>
        <w:tc>
          <w:tcPr>
            <w:tcW w:w="745" w:type="dxa"/>
            <w:vAlign w:val="center"/>
          </w:tcPr>
          <w:p>
            <w:pPr>
              <w:pStyle w:val="13"/>
              <w:rPr>
                <w:rFonts w:hint="default" w:ascii="Times New Roman" w:hAnsi="Times New Roman" w:cs="Times New Roman"/>
                <w:b/>
                <w:bCs w:val="0"/>
                <w:sz w:val="22"/>
                <w:szCs w:val="22"/>
              </w:rPr>
            </w:pPr>
            <w:r>
              <w:rPr>
                <w:rFonts w:hint="default" w:ascii="Times New Roman" w:hAnsi="Times New Roman" w:cs="Times New Roman"/>
                <w:b/>
                <w:bCs w:val="0"/>
                <w:sz w:val="22"/>
                <w:szCs w:val="22"/>
              </w:rPr>
              <w:t>片区编号</w:t>
            </w:r>
          </w:p>
        </w:tc>
        <w:tc>
          <w:tcPr>
            <w:tcW w:w="2336" w:type="dxa"/>
            <w:vAlign w:val="center"/>
          </w:tcPr>
          <w:p>
            <w:pPr>
              <w:pStyle w:val="13"/>
              <w:rPr>
                <w:rFonts w:hint="default" w:ascii="Times New Roman" w:hAnsi="Times New Roman" w:cs="Times New Roman"/>
                <w:b/>
                <w:bCs w:val="0"/>
                <w:sz w:val="22"/>
                <w:szCs w:val="22"/>
              </w:rPr>
            </w:pPr>
            <w:r>
              <w:rPr>
                <w:rFonts w:hint="default" w:ascii="Times New Roman" w:hAnsi="Times New Roman" w:cs="Times New Roman"/>
                <w:b/>
                <w:bCs w:val="0"/>
                <w:sz w:val="22"/>
                <w:szCs w:val="22"/>
              </w:rPr>
              <w:t>所属控规单元名称</w:t>
            </w:r>
          </w:p>
        </w:tc>
        <w:tc>
          <w:tcPr>
            <w:tcW w:w="2267" w:type="dxa"/>
            <w:vAlign w:val="center"/>
          </w:tcPr>
          <w:p>
            <w:pPr>
              <w:pStyle w:val="13"/>
              <w:rPr>
                <w:rFonts w:hint="default" w:ascii="Times New Roman" w:hAnsi="Times New Roman" w:cs="Times New Roman"/>
                <w:b/>
                <w:bCs w:val="0"/>
                <w:sz w:val="22"/>
                <w:szCs w:val="22"/>
              </w:rPr>
            </w:pPr>
            <w:r>
              <w:rPr>
                <w:rFonts w:hint="default" w:ascii="Times New Roman" w:hAnsi="Times New Roman" w:cs="Times New Roman"/>
                <w:b/>
                <w:bCs w:val="0"/>
                <w:sz w:val="22"/>
                <w:szCs w:val="22"/>
              </w:rPr>
              <w:t>土地征收成片开发范围名称</w:t>
            </w:r>
          </w:p>
        </w:tc>
        <w:tc>
          <w:tcPr>
            <w:tcW w:w="1969" w:type="dxa"/>
            <w:vAlign w:val="center"/>
          </w:tcPr>
          <w:p>
            <w:pPr>
              <w:pStyle w:val="13"/>
              <w:rPr>
                <w:rFonts w:hint="default" w:ascii="Times New Roman" w:hAnsi="Times New Roman" w:cs="Times New Roman"/>
                <w:b/>
                <w:bCs w:val="0"/>
                <w:sz w:val="22"/>
                <w:szCs w:val="22"/>
              </w:rPr>
            </w:pPr>
            <w:r>
              <w:rPr>
                <w:rFonts w:hint="default" w:ascii="Times New Roman" w:hAnsi="Times New Roman" w:cs="Times New Roman"/>
                <w:b/>
                <w:bCs w:val="0"/>
                <w:sz w:val="22"/>
                <w:szCs w:val="22"/>
              </w:rPr>
              <w:t>拟安排项目名称</w:t>
            </w:r>
          </w:p>
        </w:tc>
        <w:tc>
          <w:tcPr>
            <w:tcW w:w="2562" w:type="dxa"/>
            <w:vAlign w:val="center"/>
          </w:tcPr>
          <w:p>
            <w:pPr>
              <w:pStyle w:val="13"/>
              <w:rPr>
                <w:rFonts w:hint="default" w:ascii="Times New Roman" w:hAnsi="Times New Roman" w:cs="Times New Roman"/>
                <w:b/>
                <w:bCs w:val="0"/>
                <w:sz w:val="22"/>
                <w:szCs w:val="22"/>
              </w:rPr>
            </w:pPr>
            <w:r>
              <w:rPr>
                <w:rFonts w:hint="default" w:ascii="Times New Roman" w:hAnsi="Times New Roman" w:cs="Times New Roman"/>
                <w:b/>
                <w:bCs w:val="0"/>
                <w:sz w:val="22"/>
                <w:szCs w:val="22"/>
              </w:rPr>
              <w:t>主要开发用途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9" w:hRule="atLeast"/>
          <w:jc w:val="center"/>
        </w:trPr>
        <w:tc>
          <w:tcPr>
            <w:tcW w:w="745" w:type="dxa"/>
            <w:vAlign w:val="center"/>
          </w:tcPr>
          <w:p>
            <w:pPr>
              <w:pStyle w:val="13"/>
              <w:rPr>
                <w:rFonts w:hint="default" w:ascii="Times New Roman" w:hAnsi="Times New Roman" w:eastAsia="仿宋" w:cs="Times New Roman"/>
                <w:bCs w:val="0"/>
                <w:color w:val="000000"/>
                <w:kern w:val="0"/>
                <w:sz w:val="24"/>
                <w:szCs w:val="24"/>
                <w:lang w:val="en-US" w:eastAsia="zh-CN" w:bidi="ar-SA"/>
              </w:rPr>
            </w:pPr>
            <w:r>
              <w:rPr>
                <w:rFonts w:hint="eastAsia" w:ascii="Times New Roman" w:hAnsi="Times New Roman" w:eastAsia="仿宋" w:cs="Times New Roman"/>
                <w:bCs w:val="0"/>
                <w:color w:val="000000"/>
                <w:kern w:val="0"/>
                <w:sz w:val="24"/>
                <w:szCs w:val="24"/>
                <w:lang w:val="en-US" w:eastAsia="zh-CN" w:bidi="ar-SA"/>
              </w:rPr>
              <w:t>0</w:t>
            </w:r>
            <w:r>
              <w:rPr>
                <w:rFonts w:hint="default" w:ascii="Times New Roman" w:hAnsi="Times New Roman" w:eastAsia="仿宋" w:cs="Times New Roman"/>
                <w:bCs w:val="0"/>
                <w:color w:val="000000"/>
                <w:kern w:val="0"/>
                <w:sz w:val="24"/>
                <w:szCs w:val="24"/>
                <w:lang w:val="en-US" w:eastAsia="zh-CN" w:bidi="ar-SA"/>
              </w:rPr>
              <w:t>1</w:t>
            </w:r>
          </w:p>
        </w:tc>
        <w:tc>
          <w:tcPr>
            <w:tcW w:w="2336" w:type="dxa"/>
            <w:vMerge w:val="restart"/>
            <w:vAlign w:val="center"/>
          </w:tcPr>
          <w:p>
            <w:pPr>
              <w:pStyle w:val="13"/>
              <w:rPr>
                <w:rFonts w:hint="default" w:ascii="Times New Roman" w:hAnsi="Times New Roman" w:eastAsia="仿宋" w:cs="Times New Roman"/>
                <w:bCs w:val="0"/>
                <w:color w:val="000000"/>
                <w:kern w:val="0"/>
                <w:sz w:val="24"/>
                <w:szCs w:val="24"/>
                <w:lang w:val="en-US" w:eastAsia="zh-CN" w:bidi="ar-SA"/>
              </w:rPr>
            </w:pPr>
            <w:r>
              <w:rPr>
                <w:rFonts w:hint="default" w:ascii="Times New Roman" w:hAnsi="Times New Roman" w:eastAsia="仿宋" w:cs="Times New Roman"/>
                <w:bCs w:val="0"/>
                <w:color w:val="000000"/>
                <w:kern w:val="0"/>
                <w:sz w:val="24"/>
                <w:szCs w:val="24"/>
                <w:lang w:val="en-US" w:eastAsia="zh-CN" w:bidi="ar-SA"/>
              </w:rPr>
              <w:t>云浮市中心城区思劳-腰古组团南片区</w:t>
            </w:r>
          </w:p>
        </w:tc>
        <w:tc>
          <w:tcPr>
            <w:tcW w:w="2267" w:type="dxa"/>
            <w:vAlign w:val="center"/>
          </w:tcPr>
          <w:p>
            <w:pPr>
              <w:pStyle w:val="13"/>
              <w:ind w:firstLine="0" w:firstLineChars="0"/>
              <w:rPr>
                <w:rFonts w:hint="default" w:ascii="Times New Roman" w:hAnsi="Times New Roman" w:eastAsia="仿宋" w:cs="Times New Roman"/>
                <w:bCs w:val="0"/>
                <w:color w:val="000000"/>
                <w:kern w:val="0"/>
                <w:sz w:val="24"/>
                <w:szCs w:val="24"/>
                <w:lang w:val="en-US" w:eastAsia="zh-CN" w:bidi="ar-SA"/>
              </w:rPr>
            </w:pPr>
            <w:r>
              <w:rPr>
                <w:rFonts w:hint="default" w:ascii="Times New Roman" w:hAnsi="Times New Roman" w:eastAsia="仿宋" w:cs="Times New Roman"/>
                <w:bCs w:val="0"/>
                <w:color w:val="000000"/>
                <w:kern w:val="0"/>
                <w:sz w:val="24"/>
                <w:szCs w:val="24"/>
                <w:lang w:val="en-US" w:eastAsia="zh-CN" w:bidi="ar-SA"/>
              </w:rPr>
              <w:t>云浮市中心城区思劳-腰古组团南片区-1</w:t>
            </w:r>
          </w:p>
        </w:tc>
        <w:tc>
          <w:tcPr>
            <w:tcW w:w="1969" w:type="dxa"/>
            <w:vAlign w:val="center"/>
          </w:tcPr>
          <w:p>
            <w:pPr>
              <w:pStyle w:val="13"/>
              <w:rPr>
                <w:rFonts w:hint="default" w:ascii="Times New Roman" w:hAnsi="Times New Roman" w:eastAsia="仿宋" w:cs="Times New Roman"/>
                <w:bCs w:val="0"/>
                <w:color w:val="000000"/>
                <w:kern w:val="0"/>
                <w:sz w:val="24"/>
                <w:szCs w:val="24"/>
                <w:lang w:val="en-US" w:eastAsia="zh-CN" w:bidi="ar-SA"/>
              </w:rPr>
            </w:pPr>
            <w:r>
              <w:rPr>
                <w:rFonts w:hint="default" w:ascii="Times New Roman" w:hAnsi="Times New Roman" w:eastAsia="仿宋" w:cs="Times New Roman"/>
                <w:bCs w:val="0"/>
                <w:color w:val="000000"/>
                <w:kern w:val="0"/>
                <w:sz w:val="24"/>
                <w:szCs w:val="24"/>
                <w:lang w:val="en-US" w:eastAsia="zh-CN" w:bidi="ar-SA"/>
              </w:rPr>
              <w:t>东海钢铁项目</w:t>
            </w:r>
          </w:p>
        </w:tc>
        <w:tc>
          <w:tcPr>
            <w:tcW w:w="2562" w:type="dxa"/>
            <w:vAlign w:val="center"/>
          </w:tcPr>
          <w:p>
            <w:pPr>
              <w:pStyle w:val="13"/>
              <w:rPr>
                <w:rFonts w:hint="default" w:ascii="Times New Roman" w:hAnsi="Times New Roman" w:eastAsia="仿宋" w:cs="Times New Roman"/>
                <w:bCs w:val="0"/>
                <w:color w:val="000000"/>
                <w:kern w:val="0"/>
                <w:sz w:val="24"/>
                <w:szCs w:val="24"/>
                <w:lang w:val="en-US" w:eastAsia="zh-CN" w:bidi="ar-SA"/>
              </w:rPr>
            </w:pPr>
            <w:r>
              <w:rPr>
                <w:rFonts w:hint="default" w:ascii="Times New Roman" w:hAnsi="Times New Roman" w:eastAsia="仿宋" w:cs="Times New Roman"/>
                <w:bCs w:val="0"/>
                <w:color w:val="000000"/>
                <w:kern w:val="0"/>
                <w:sz w:val="24"/>
                <w:szCs w:val="24"/>
                <w:lang w:val="en-US" w:eastAsia="zh-CN" w:bidi="ar-SA"/>
              </w:rPr>
              <w:t>工业用地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09" w:hRule="atLeast"/>
          <w:jc w:val="center"/>
        </w:trPr>
        <w:tc>
          <w:tcPr>
            <w:tcW w:w="745" w:type="dxa"/>
            <w:vAlign w:val="center"/>
          </w:tcPr>
          <w:p>
            <w:pPr>
              <w:pStyle w:val="13"/>
              <w:rPr>
                <w:rFonts w:hint="default" w:ascii="Times New Roman" w:hAnsi="Times New Roman" w:eastAsia="仿宋" w:cs="Times New Roman"/>
                <w:bCs w:val="0"/>
                <w:color w:val="000000"/>
                <w:kern w:val="0"/>
                <w:sz w:val="24"/>
                <w:szCs w:val="24"/>
                <w:lang w:val="en-US" w:eastAsia="zh-CN" w:bidi="ar-SA"/>
              </w:rPr>
            </w:pPr>
            <w:r>
              <w:rPr>
                <w:rFonts w:hint="eastAsia" w:ascii="Times New Roman" w:hAnsi="Times New Roman" w:eastAsia="仿宋" w:cs="Times New Roman"/>
                <w:bCs w:val="0"/>
                <w:color w:val="000000"/>
                <w:kern w:val="0"/>
                <w:sz w:val="24"/>
                <w:szCs w:val="24"/>
                <w:lang w:val="en-US" w:eastAsia="zh-CN" w:bidi="ar-SA"/>
              </w:rPr>
              <w:t>0</w:t>
            </w:r>
            <w:r>
              <w:rPr>
                <w:rFonts w:hint="default" w:ascii="Times New Roman" w:hAnsi="Times New Roman" w:eastAsia="仿宋" w:cs="Times New Roman"/>
                <w:bCs w:val="0"/>
                <w:color w:val="000000"/>
                <w:kern w:val="0"/>
                <w:sz w:val="24"/>
                <w:szCs w:val="24"/>
                <w:lang w:val="en-US" w:eastAsia="zh-CN" w:bidi="ar-SA"/>
              </w:rPr>
              <w:t>2</w:t>
            </w:r>
          </w:p>
        </w:tc>
        <w:tc>
          <w:tcPr>
            <w:tcW w:w="2336" w:type="dxa"/>
            <w:vMerge w:val="continue"/>
            <w:vAlign w:val="center"/>
          </w:tcPr>
          <w:p>
            <w:pPr>
              <w:pStyle w:val="13"/>
              <w:rPr>
                <w:rFonts w:hint="default" w:ascii="Times New Roman" w:hAnsi="Times New Roman" w:eastAsia="仿宋" w:cs="Times New Roman"/>
                <w:bCs w:val="0"/>
                <w:color w:val="000000"/>
                <w:kern w:val="0"/>
                <w:sz w:val="24"/>
                <w:szCs w:val="24"/>
                <w:lang w:val="en-US" w:eastAsia="zh-CN" w:bidi="ar-SA"/>
              </w:rPr>
            </w:pPr>
          </w:p>
        </w:tc>
        <w:tc>
          <w:tcPr>
            <w:tcW w:w="2267" w:type="dxa"/>
            <w:vAlign w:val="center"/>
          </w:tcPr>
          <w:p>
            <w:pPr>
              <w:pStyle w:val="13"/>
              <w:ind w:firstLine="0" w:firstLineChars="0"/>
              <w:rPr>
                <w:rFonts w:hint="default" w:ascii="Times New Roman" w:hAnsi="Times New Roman" w:eastAsia="仿宋" w:cs="Times New Roman"/>
                <w:bCs w:val="0"/>
                <w:color w:val="000000"/>
                <w:kern w:val="0"/>
                <w:sz w:val="24"/>
                <w:szCs w:val="24"/>
                <w:lang w:val="en-US" w:eastAsia="zh-CN" w:bidi="ar-SA"/>
              </w:rPr>
            </w:pPr>
            <w:r>
              <w:rPr>
                <w:rFonts w:hint="default" w:ascii="Times New Roman" w:hAnsi="Times New Roman" w:eastAsia="仿宋" w:cs="Times New Roman"/>
                <w:bCs w:val="0"/>
                <w:color w:val="000000"/>
                <w:kern w:val="0"/>
                <w:sz w:val="24"/>
                <w:szCs w:val="24"/>
                <w:lang w:val="en-US" w:eastAsia="zh-CN" w:bidi="ar-SA"/>
              </w:rPr>
              <w:t>云浮市中心城区思劳-腰古组团南片区-2</w:t>
            </w:r>
          </w:p>
        </w:tc>
        <w:tc>
          <w:tcPr>
            <w:tcW w:w="1969" w:type="dxa"/>
            <w:vAlign w:val="center"/>
          </w:tcPr>
          <w:p>
            <w:pPr>
              <w:pStyle w:val="13"/>
              <w:rPr>
                <w:rFonts w:hint="default" w:ascii="Times New Roman" w:hAnsi="Times New Roman" w:eastAsia="仿宋" w:cs="Times New Roman"/>
                <w:bCs w:val="0"/>
                <w:color w:val="000000"/>
                <w:kern w:val="0"/>
                <w:sz w:val="24"/>
                <w:szCs w:val="24"/>
                <w:lang w:val="en-US" w:eastAsia="zh-CN" w:bidi="ar-SA"/>
              </w:rPr>
            </w:pPr>
            <w:r>
              <w:rPr>
                <w:rFonts w:hint="default" w:ascii="Times New Roman" w:hAnsi="Times New Roman" w:eastAsia="仿宋" w:cs="Times New Roman"/>
                <w:bCs w:val="0"/>
                <w:color w:val="000000"/>
                <w:kern w:val="0"/>
                <w:sz w:val="24"/>
                <w:szCs w:val="24"/>
                <w:lang w:val="en-US" w:eastAsia="zh-CN" w:bidi="ar-SA"/>
              </w:rPr>
              <w:t>安塘石材基地四期项目</w:t>
            </w:r>
          </w:p>
        </w:tc>
        <w:tc>
          <w:tcPr>
            <w:tcW w:w="2562" w:type="dxa"/>
            <w:vAlign w:val="center"/>
          </w:tcPr>
          <w:p>
            <w:pPr>
              <w:pStyle w:val="13"/>
              <w:rPr>
                <w:rFonts w:hint="default" w:ascii="Times New Roman" w:hAnsi="Times New Roman" w:eastAsia="仿宋" w:cs="Times New Roman"/>
                <w:bCs w:val="0"/>
                <w:color w:val="000000"/>
                <w:kern w:val="0"/>
                <w:sz w:val="24"/>
                <w:szCs w:val="24"/>
                <w:lang w:val="en-US" w:eastAsia="zh-CN" w:bidi="ar-SA"/>
              </w:rPr>
            </w:pPr>
            <w:r>
              <w:rPr>
                <w:rFonts w:hint="default" w:ascii="Times New Roman" w:hAnsi="Times New Roman" w:eastAsia="仿宋" w:cs="Times New Roman"/>
                <w:bCs w:val="0"/>
                <w:color w:val="000000"/>
                <w:kern w:val="0"/>
                <w:sz w:val="24"/>
                <w:szCs w:val="24"/>
                <w:lang w:val="en-US" w:eastAsia="zh-CN" w:bidi="ar-SA"/>
              </w:rPr>
              <w:t>工业用地、城市道路用地、防护绿地、供水用地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27" w:hRule="atLeast"/>
          <w:jc w:val="center"/>
        </w:trPr>
        <w:tc>
          <w:tcPr>
            <w:tcW w:w="745" w:type="dxa"/>
            <w:vAlign w:val="center"/>
          </w:tcPr>
          <w:p>
            <w:pPr>
              <w:pStyle w:val="13"/>
              <w:rPr>
                <w:rFonts w:hint="default" w:ascii="Times New Roman" w:hAnsi="Times New Roman" w:eastAsia="仿宋" w:cs="Times New Roman"/>
                <w:bCs w:val="0"/>
                <w:color w:val="000000"/>
                <w:kern w:val="0"/>
                <w:sz w:val="24"/>
                <w:szCs w:val="24"/>
                <w:lang w:val="en-US" w:eastAsia="zh-CN" w:bidi="ar-SA"/>
              </w:rPr>
            </w:pPr>
            <w:r>
              <w:rPr>
                <w:rFonts w:hint="eastAsia" w:ascii="Times New Roman" w:hAnsi="Times New Roman" w:eastAsia="仿宋" w:cs="Times New Roman"/>
                <w:bCs w:val="0"/>
                <w:color w:val="000000"/>
                <w:kern w:val="0"/>
                <w:sz w:val="24"/>
                <w:szCs w:val="24"/>
                <w:lang w:val="en-US" w:eastAsia="zh-CN" w:bidi="ar-SA"/>
              </w:rPr>
              <w:t>0</w:t>
            </w:r>
            <w:r>
              <w:rPr>
                <w:rFonts w:hint="default" w:ascii="Times New Roman" w:hAnsi="Times New Roman" w:eastAsia="仿宋" w:cs="Times New Roman"/>
                <w:bCs w:val="0"/>
                <w:color w:val="000000"/>
                <w:kern w:val="0"/>
                <w:sz w:val="24"/>
                <w:szCs w:val="24"/>
                <w:lang w:val="en-US" w:eastAsia="zh-CN" w:bidi="ar-SA"/>
              </w:rPr>
              <w:t>3</w:t>
            </w:r>
          </w:p>
        </w:tc>
        <w:tc>
          <w:tcPr>
            <w:tcW w:w="4603" w:type="dxa"/>
            <w:gridSpan w:val="2"/>
            <w:vAlign w:val="center"/>
          </w:tcPr>
          <w:p>
            <w:pPr>
              <w:pStyle w:val="13"/>
              <w:rPr>
                <w:rFonts w:hint="default" w:ascii="Times New Roman" w:hAnsi="Times New Roman" w:eastAsia="仿宋" w:cs="Times New Roman"/>
                <w:bCs w:val="0"/>
                <w:color w:val="000000"/>
                <w:kern w:val="0"/>
                <w:sz w:val="24"/>
                <w:szCs w:val="24"/>
                <w:lang w:val="en-US" w:eastAsia="zh-CN" w:bidi="ar-SA"/>
              </w:rPr>
            </w:pPr>
            <w:r>
              <w:rPr>
                <w:rFonts w:hint="default" w:ascii="Times New Roman" w:hAnsi="Times New Roman" w:eastAsia="仿宋" w:cs="Times New Roman"/>
                <w:bCs w:val="0"/>
                <w:color w:val="000000"/>
                <w:kern w:val="0"/>
                <w:sz w:val="24"/>
                <w:szCs w:val="24"/>
                <w:lang w:val="en-US" w:eastAsia="zh-CN" w:bidi="ar-SA"/>
              </w:rPr>
              <w:t>佛山（云浮）产业转移工业园（思劳片区）西片区</w:t>
            </w:r>
          </w:p>
        </w:tc>
        <w:tc>
          <w:tcPr>
            <w:tcW w:w="1969" w:type="dxa"/>
            <w:vAlign w:val="center"/>
          </w:tcPr>
          <w:p>
            <w:pPr>
              <w:pStyle w:val="13"/>
              <w:rPr>
                <w:rFonts w:hint="default" w:ascii="Times New Roman" w:hAnsi="Times New Roman" w:eastAsia="仿宋" w:cs="Times New Roman"/>
                <w:bCs w:val="0"/>
                <w:color w:val="000000"/>
                <w:kern w:val="0"/>
                <w:sz w:val="24"/>
                <w:szCs w:val="24"/>
                <w:lang w:val="en-US" w:eastAsia="zh-CN" w:bidi="ar-SA"/>
              </w:rPr>
            </w:pPr>
            <w:r>
              <w:rPr>
                <w:rFonts w:hint="default" w:ascii="Times New Roman" w:hAnsi="Times New Roman" w:eastAsia="仿宋" w:cs="Times New Roman"/>
                <w:bCs w:val="0"/>
                <w:color w:val="000000"/>
                <w:kern w:val="0"/>
                <w:sz w:val="24"/>
                <w:szCs w:val="24"/>
                <w:lang w:val="en-US" w:eastAsia="zh-CN" w:bidi="ar-SA"/>
              </w:rPr>
              <w:t>佛山（云浮）产业转移工业园项目</w:t>
            </w:r>
          </w:p>
        </w:tc>
        <w:tc>
          <w:tcPr>
            <w:tcW w:w="2562" w:type="dxa"/>
            <w:vAlign w:val="center"/>
          </w:tcPr>
          <w:p>
            <w:pPr>
              <w:pStyle w:val="13"/>
              <w:rPr>
                <w:rFonts w:hint="default" w:ascii="Times New Roman" w:hAnsi="Times New Roman" w:eastAsia="仿宋" w:cs="Times New Roman"/>
                <w:bCs w:val="0"/>
                <w:color w:val="000000"/>
                <w:kern w:val="0"/>
                <w:sz w:val="24"/>
                <w:szCs w:val="24"/>
                <w:lang w:val="en-US" w:eastAsia="zh-CN" w:bidi="ar-SA"/>
              </w:rPr>
            </w:pPr>
            <w:r>
              <w:rPr>
                <w:rFonts w:hint="default" w:ascii="Times New Roman" w:hAnsi="Times New Roman" w:eastAsia="仿宋" w:cs="Times New Roman"/>
                <w:bCs w:val="0"/>
                <w:color w:val="000000"/>
                <w:kern w:val="0"/>
                <w:sz w:val="24"/>
                <w:szCs w:val="24"/>
                <w:lang w:val="en-US" w:eastAsia="zh-CN" w:bidi="ar-SA"/>
              </w:rPr>
              <w:t>工业用地、</w:t>
            </w:r>
          </w:p>
          <w:p>
            <w:pPr>
              <w:pStyle w:val="13"/>
              <w:rPr>
                <w:rFonts w:hint="default" w:ascii="Times New Roman" w:hAnsi="Times New Roman" w:eastAsia="仿宋" w:cs="Times New Roman"/>
                <w:bCs w:val="0"/>
                <w:color w:val="000000"/>
                <w:kern w:val="0"/>
                <w:sz w:val="24"/>
                <w:szCs w:val="24"/>
                <w:lang w:val="en-US" w:eastAsia="zh-CN" w:bidi="ar-SA"/>
              </w:rPr>
            </w:pPr>
            <w:r>
              <w:rPr>
                <w:rFonts w:hint="default" w:ascii="Times New Roman" w:hAnsi="Times New Roman" w:eastAsia="仿宋" w:cs="Times New Roman"/>
                <w:bCs w:val="0"/>
                <w:color w:val="000000"/>
                <w:kern w:val="0"/>
                <w:sz w:val="24"/>
                <w:szCs w:val="24"/>
                <w:lang w:val="en-US" w:eastAsia="zh-CN" w:bidi="ar-SA"/>
              </w:rPr>
              <w:t>城市道路用地</w:t>
            </w:r>
          </w:p>
        </w:tc>
      </w:tr>
    </w:tbl>
    <w:p>
      <w:pPr>
        <w:pStyle w:val="11"/>
        <w:outlineLvl w:val="9"/>
        <w:rPr>
          <w:rFonts w:ascii="Times New Roman" w:hAnsi="Times New Roman"/>
        </w:rPr>
      </w:pPr>
    </w:p>
    <w:p>
      <w:pPr>
        <w:pStyle w:val="11"/>
        <w:rPr>
          <w:rFonts w:ascii="Times New Roman" w:hAnsi="Times New Roman"/>
        </w:rPr>
      </w:pPr>
      <w:r>
        <w:rPr>
          <w:rFonts w:ascii="Times New Roman" w:hAnsi="Times New Roman"/>
        </w:rPr>
        <w:t>（二）公益性用地情况</w:t>
      </w:r>
    </w:p>
    <w:p>
      <w:pPr>
        <w:pStyle w:val="12"/>
        <w:spacing w:before="95" w:after="95"/>
        <w:ind w:firstLine="560"/>
      </w:pPr>
      <w:r>
        <w:t>根据城市（镇）总体规划、控制性详细规划确定的土地用途核算，本方案确定的成片开发范围内公益性用地占比均达到40%以上，详见表4。</w:t>
      </w:r>
    </w:p>
    <w:p>
      <w:pPr>
        <w:pStyle w:val="12"/>
        <w:spacing w:before="95" w:after="95"/>
        <w:ind w:firstLine="560"/>
      </w:pPr>
    </w:p>
    <w:p>
      <w:pPr>
        <w:pStyle w:val="12"/>
        <w:numPr>
          <w:ilvl w:val="0"/>
          <w:numId w:val="2"/>
        </w:numPr>
        <w:spacing w:before="95" w:after="0" w:afterLines="0"/>
        <w:ind w:firstLineChars="0"/>
        <w:jc w:val="center"/>
        <w:rPr>
          <w:rFonts w:eastAsia="黑体"/>
          <w:b/>
          <w:sz w:val="24"/>
        </w:rPr>
      </w:pPr>
      <w:r>
        <w:rPr>
          <w:rFonts w:eastAsia="黑体"/>
          <w:b/>
          <w:sz w:val="24"/>
        </w:rPr>
        <w:t>成片开发范围公益性用地与非公益性用地占比情况表</w:t>
      </w:r>
    </w:p>
    <w:tbl>
      <w:tblPr>
        <w:tblStyle w:val="7"/>
        <w:tblW w:w="8417" w:type="dxa"/>
        <w:tblInd w:w="0" w:type="dxa"/>
        <w:tblLayout w:type="fixed"/>
        <w:tblCellMar>
          <w:top w:w="0" w:type="dxa"/>
          <w:left w:w="108" w:type="dxa"/>
          <w:bottom w:w="0" w:type="dxa"/>
          <w:right w:w="108" w:type="dxa"/>
        </w:tblCellMar>
      </w:tblPr>
      <w:tblGrid>
        <w:gridCol w:w="805"/>
        <w:gridCol w:w="2381"/>
        <w:gridCol w:w="1399"/>
        <w:gridCol w:w="1261"/>
        <w:gridCol w:w="1399"/>
        <w:gridCol w:w="1172"/>
      </w:tblGrid>
      <w:tr>
        <w:trPr>
          <w:trHeight w:val="1240" w:hRule="atLeast"/>
          <w:tblHeader/>
        </w:trPr>
        <w:tc>
          <w:tcPr>
            <w:tcW w:w="805" w:type="dxa"/>
            <w:tcBorders>
              <w:top w:val="single" w:color="auto" w:sz="4" w:space="0"/>
              <w:left w:val="single" w:color="auto" w:sz="4" w:space="0"/>
              <w:bottom w:val="single" w:color="auto" w:sz="4" w:space="0"/>
              <w:right w:val="single" w:color="auto" w:sz="4" w:space="0"/>
            </w:tcBorders>
            <w:vAlign w:val="center"/>
          </w:tcPr>
          <w:p>
            <w:pPr>
              <w:widowControl/>
              <w:spacing w:before="0" w:after="0" w:line="300" w:lineRule="auto"/>
              <w:ind w:firstLine="0" w:firstLineChars="0"/>
              <w:jc w:val="center"/>
              <w:rPr>
                <w:b/>
                <w:bCs/>
                <w:kern w:val="0"/>
                <w:sz w:val="24"/>
                <w:szCs w:val="24"/>
              </w:rPr>
            </w:pPr>
            <w:r>
              <w:rPr>
                <w:b/>
                <w:bCs/>
                <w:kern w:val="0"/>
                <w:sz w:val="24"/>
                <w:szCs w:val="24"/>
              </w:rPr>
              <w:t>序号</w:t>
            </w:r>
          </w:p>
        </w:tc>
        <w:tc>
          <w:tcPr>
            <w:tcW w:w="2381" w:type="dxa"/>
            <w:tcBorders>
              <w:top w:val="single" w:color="auto" w:sz="4" w:space="0"/>
              <w:left w:val="nil"/>
              <w:bottom w:val="single" w:color="auto" w:sz="4" w:space="0"/>
              <w:right w:val="single" w:color="auto" w:sz="4" w:space="0"/>
            </w:tcBorders>
            <w:vAlign w:val="center"/>
          </w:tcPr>
          <w:p>
            <w:pPr>
              <w:widowControl/>
              <w:spacing w:before="0" w:after="0" w:line="300" w:lineRule="auto"/>
              <w:ind w:firstLine="0" w:firstLineChars="0"/>
              <w:jc w:val="center"/>
              <w:rPr>
                <w:b/>
                <w:bCs/>
                <w:kern w:val="0"/>
                <w:sz w:val="24"/>
                <w:szCs w:val="24"/>
              </w:rPr>
            </w:pPr>
            <w:r>
              <w:rPr>
                <w:b/>
                <w:bCs/>
                <w:kern w:val="0"/>
                <w:sz w:val="24"/>
                <w:szCs w:val="24"/>
              </w:rPr>
              <w:t>片区名称</w:t>
            </w:r>
          </w:p>
        </w:tc>
        <w:tc>
          <w:tcPr>
            <w:tcW w:w="1399" w:type="dxa"/>
            <w:tcBorders>
              <w:top w:val="single" w:color="auto" w:sz="4" w:space="0"/>
              <w:left w:val="nil"/>
              <w:bottom w:val="single" w:color="auto" w:sz="4" w:space="0"/>
              <w:right w:val="single" w:color="auto" w:sz="4" w:space="0"/>
            </w:tcBorders>
            <w:vAlign w:val="center"/>
          </w:tcPr>
          <w:p>
            <w:pPr>
              <w:widowControl/>
              <w:spacing w:before="0" w:after="0" w:line="300" w:lineRule="auto"/>
              <w:ind w:firstLine="0" w:firstLineChars="0"/>
              <w:jc w:val="center"/>
              <w:rPr>
                <w:b/>
                <w:bCs/>
                <w:kern w:val="0"/>
                <w:sz w:val="24"/>
                <w:szCs w:val="24"/>
              </w:rPr>
            </w:pPr>
            <w:r>
              <w:rPr>
                <w:b/>
                <w:bCs/>
                <w:kern w:val="0"/>
                <w:sz w:val="24"/>
                <w:szCs w:val="24"/>
              </w:rPr>
              <w:t>片区面积（公顷）</w:t>
            </w:r>
          </w:p>
        </w:tc>
        <w:tc>
          <w:tcPr>
            <w:tcW w:w="1261" w:type="dxa"/>
            <w:tcBorders>
              <w:top w:val="single" w:color="auto" w:sz="4" w:space="0"/>
              <w:left w:val="nil"/>
              <w:bottom w:val="single" w:color="auto" w:sz="4" w:space="0"/>
              <w:right w:val="single" w:color="auto" w:sz="4" w:space="0"/>
            </w:tcBorders>
            <w:vAlign w:val="center"/>
          </w:tcPr>
          <w:p>
            <w:pPr>
              <w:widowControl/>
              <w:spacing w:before="0" w:after="0" w:line="300" w:lineRule="auto"/>
              <w:ind w:firstLine="0" w:firstLineChars="0"/>
              <w:jc w:val="center"/>
              <w:rPr>
                <w:b/>
                <w:bCs/>
                <w:kern w:val="0"/>
                <w:sz w:val="24"/>
                <w:szCs w:val="24"/>
              </w:rPr>
            </w:pPr>
            <w:r>
              <w:rPr>
                <w:b/>
                <w:bCs/>
                <w:kern w:val="0"/>
                <w:sz w:val="24"/>
                <w:szCs w:val="24"/>
              </w:rPr>
              <w:t>用地性质</w:t>
            </w:r>
          </w:p>
        </w:tc>
        <w:tc>
          <w:tcPr>
            <w:tcW w:w="1399" w:type="dxa"/>
            <w:tcBorders>
              <w:top w:val="single" w:color="auto" w:sz="4" w:space="0"/>
              <w:left w:val="nil"/>
              <w:bottom w:val="single" w:color="auto" w:sz="4" w:space="0"/>
              <w:right w:val="single" w:color="auto" w:sz="4" w:space="0"/>
            </w:tcBorders>
            <w:vAlign w:val="center"/>
          </w:tcPr>
          <w:p>
            <w:pPr>
              <w:widowControl/>
              <w:spacing w:before="0" w:after="0" w:line="300" w:lineRule="auto"/>
              <w:ind w:firstLine="0" w:firstLineChars="0"/>
              <w:jc w:val="center"/>
              <w:rPr>
                <w:b/>
                <w:bCs/>
                <w:kern w:val="0"/>
                <w:sz w:val="24"/>
                <w:szCs w:val="24"/>
              </w:rPr>
            </w:pPr>
            <w:r>
              <w:rPr>
                <w:b/>
                <w:bCs/>
                <w:kern w:val="0"/>
                <w:sz w:val="24"/>
                <w:szCs w:val="24"/>
              </w:rPr>
              <w:t>用地面积（公顷）</w:t>
            </w:r>
          </w:p>
        </w:tc>
        <w:tc>
          <w:tcPr>
            <w:tcW w:w="1172" w:type="dxa"/>
            <w:tcBorders>
              <w:top w:val="single" w:color="auto" w:sz="4" w:space="0"/>
              <w:left w:val="nil"/>
              <w:bottom w:val="single" w:color="auto" w:sz="4" w:space="0"/>
              <w:right w:val="single" w:color="auto" w:sz="4" w:space="0"/>
            </w:tcBorders>
            <w:vAlign w:val="center"/>
          </w:tcPr>
          <w:p>
            <w:pPr>
              <w:widowControl/>
              <w:spacing w:before="0" w:after="0" w:line="300" w:lineRule="auto"/>
              <w:ind w:firstLine="0" w:firstLineChars="0"/>
              <w:jc w:val="center"/>
              <w:rPr>
                <w:b/>
                <w:bCs/>
                <w:kern w:val="0"/>
                <w:sz w:val="24"/>
                <w:szCs w:val="24"/>
              </w:rPr>
            </w:pPr>
            <w:r>
              <w:rPr>
                <w:b/>
                <w:bCs/>
                <w:kern w:val="0"/>
                <w:sz w:val="24"/>
                <w:szCs w:val="24"/>
              </w:rPr>
              <w:t>占比</w:t>
            </w:r>
          </w:p>
        </w:tc>
      </w:tr>
      <w:tr>
        <w:trPr>
          <w:trHeight w:val="626" w:hRule="atLeast"/>
        </w:trPr>
        <w:tc>
          <w:tcPr>
            <w:tcW w:w="805" w:type="dxa"/>
            <w:vMerge w:val="restart"/>
            <w:tcBorders>
              <w:top w:val="nil"/>
              <w:left w:val="single" w:color="auto" w:sz="4" w:space="0"/>
              <w:bottom w:val="single" w:color="000000" w:sz="4" w:space="0"/>
              <w:right w:val="single" w:color="auto" w:sz="4" w:space="0"/>
            </w:tcBorders>
            <w:vAlign w:val="center"/>
          </w:tcPr>
          <w:p>
            <w:pPr>
              <w:widowControl/>
              <w:spacing w:before="0" w:after="0" w:line="300" w:lineRule="auto"/>
              <w:ind w:firstLine="0" w:firstLineChars="0"/>
              <w:jc w:val="center"/>
              <w:rPr>
                <w:rFonts w:eastAsia="等线"/>
                <w:kern w:val="0"/>
                <w:sz w:val="24"/>
                <w:szCs w:val="24"/>
              </w:rPr>
            </w:pPr>
            <w:r>
              <w:rPr>
                <w:rFonts w:hint="eastAsia" w:eastAsia="等线"/>
                <w:kern w:val="0"/>
                <w:sz w:val="24"/>
                <w:szCs w:val="24"/>
                <w:lang w:val="en-US" w:eastAsia="zh-CN"/>
              </w:rPr>
              <w:t>0</w:t>
            </w:r>
            <w:r>
              <w:rPr>
                <w:rFonts w:eastAsia="等线"/>
                <w:kern w:val="0"/>
                <w:sz w:val="24"/>
                <w:szCs w:val="24"/>
              </w:rPr>
              <w:t>1</w:t>
            </w:r>
          </w:p>
        </w:tc>
        <w:tc>
          <w:tcPr>
            <w:tcW w:w="2381" w:type="dxa"/>
            <w:vMerge w:val="restart"/>
            <w:tcBorders>
              <w:top w:val="nil"/>
              <w:left w:val="single" w:color="auto" w:sz="4" w:space="0"/>
              <w:bottom w:val="single" w:color="000000" w:sz="4" w:space="0"/>
              <w:right w:val="single" w:color="auto" w:sz="4" w:space="0"/>
            </w:tcBorders>
            <w:vAlign w:val="center"/>
          </w:tcPr>
          <w:p>
            <w:pPr>
              <w:widowControl/>
              <w:spacing w:before="0" w:after="0" w:line="300" w:lineRule="auto"/>
              <w:ind w:firstLine="0" w:firstLineChars="0"/>
              <w:jc w:val="center"/>
              <w:rPr>
                <w:kern w:val="0"/>
                <w:sz w:val="24"/>
                <w:szCs w:val="24"/>
              </w:rPr>
            </w:pPr>
            <w:r>
              <w:rPr>
                <w:rFonts w:hint="default" w:ascii="Times New Roman" w:hAnsi="Times New Roman" w:eastAsia="仿宋" w:cs="Times New Roman"/>
                <w:bCs w:val="0"/>
                <w:color w:val="000000"/>
                <w:kern w:val="0"/>
                <w:sz w:val="24"/>
                <w:szCs w:val="24"/>
                <w:lang w:val="en-US" w:eastAsia="zh-CN" w:bidi="ar-SA"/>
              </w:rPr>
              <w:t>云浮市中心城区思劳-腰古组团南片区-1</w:t>
            </w:r>
          </w:p>
        </w:tc>
        <w:tc>
          <w:tcPr>
            <w:tcW w:w="1399" w:type="dxa"/>
            <w:vMerge w:val="restart"/>
            <w:tcBorders>
              <w:top w:val="nil"/>
              <w:left w:val="single" w:color="auto" w:sz="4" w:space="0"/>
              <w:bottom w:val="single" w:color="000000" w:sz="4" w:space="0"/>
              <w:right w:val="single" w:color="auto" w:sz="4" w:space="0"/>
            </w:tcBorders>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2"/>
                <w:sz w:val="32"/>
                <w:szCs w:val="32"/>
                <w:u w:val="none"/>
                <w:lang w:val="en-US" w:eastAsia="zh-CN" w:bidi="ar-SA"/>
              </w:rPr>
            </w:pPr>
            <w:r>
              <w:rPr>
                <w:rFonts w:hint="default" w:ascii="Times New Roman" w:hAnsi="Times New Roman" w:eastAsia="宋体" w:cs="Times New Roman"/>
                <w:color w:val="000000"/>
                <w:kern w:val="0"/>
                <w:sz w:val="24"/>
                <w:szCs w:val="24"/>
                <w:lang w:val="en-US" w:eastAsia="zh-CN"/>
              </w:rPr>
              <w:t>104.4115</w:t>
            </w:r>
          </w:p>
        </w:tc>
        <w:tc>
          <w:tcPr>
            <w:tcW w:w="1261" w:type="dxa"/>
            <w:tcBorders>
              <w:top w:val="nil"/>
              <w:left w:val="nil"/>
              <w:bottom w:val="single" w:color="auto" w:sz="4" w:space="0"/>
              <w:right w:val="single" w:color="auto" w:sz="4" w:space="0"/>
            </w:tcBorders>
            <w:vAlign w:val="center"/>
          </w:tcPr>
          <w:p>
            <w:pPr>
              <w:widowControl/>
              <w:spacing w:before="0" w:after="0" w:line="300" w:lineRule="auto"/>
              <w:ind w:firstLine="0" w:firstLineChars="0"/>
              <w:jc w:val="center"/>
              <w:rPr>
                <w:kern w:val="0"/>
                <w:sz w:val="24"/>
                <w:szCs w:val="24"/>
              </w:rPr>
            </w:pPr>
            <w:r>
              <w:rPr>
                <w:kern w:val="0"/>
                <w:sz w:val="24"/>
                <w:szCs w:val="24"/>
              </w:rPr>
              <w:t>公益性</w:t>
            </w:r>
          </w:p>
        </w:tc>
        <w:tc>
          <w:tcPr>
            <w:tcW w:w="1399" w:type="dxa"/>
            <w:tcBorders>
              <w:top w:val="nil"/>
              <w:left w:val="nil"/>
              <w:bottom w:val="single" w:color="auto" w:sz="4" w:space="0"/>
              <w:right w:val="single" w:color="auto" w:sz="4" w:space="0"/>
            </w:tcBorders>
            <w:vAlign w:val="center"/>
          </w:tcPr>
          <w:p>
            <w:pPr>
              <w:widowControl/>
              <w:spacing w:before="0" w:after="0" w:line="300" w:lineRule="auto"/>
              <w:ind w:firstLine="0" w:firstLineChars="0"/>
              <w:jc w:val="center"/>
              <w:rPr>
                <w:rFonts w:hint="eastAsia" w:eastAsia="等线"/>
                <w:kern w:val="0"/>
                <w:sz w:val="24"/>
                <w:szCs w:val="24"/>
                <w:lang w:val="en-US" w:eastAsia="zh-CN"/>
              </w:rPr>
            </w:pPr>
            <w:r>
              <w:rPr>
                <w:rFonts w:hint="eastAsia" w:eastAsia="等线"/>
                <w:kern w:val="0"/>
                <w:sz w:val="24"/>
                <w:szCs w:val="24"/>
              </w:rPr>
              <w:t>43.004</w:t>
            </w:r>
            <w:r>
              <w:rPr>
                <w:rFonts w:hint="eastAsia" w:eastAsia="等线"/>
                <w:kern w:val="0"/>
                <w:sz w:val="24"/>
                <w:szCs w:val="24"/>
                <w:lang w:val="en-US" w:eastAsia="zh-CN"/>
              </w:rPr>
              <w:t>0</w:t>
            </w:r>
          </w:p>
        </w:tc>
        <w:tc>
          <w:tcPr>
            <w:tcW w:w="1172" w:type="dxa"/>
            <w:tcBorders>
              <w:top w:val="nil"/>
              <w:left w:val="nil"/>
              <w:bottom w:val="single" w:color="auto" w:sz="4" w:space="0"/>
              <w:right w:val="single" w:color="auto" w:sz="4" w:space="0"/>
            </w:tcBorders>
            <w:vAlign w:val="center"/>
          </w:tcPr>
          <w:p>
            <w:pPr>
              <w:widowControl/>
              <w:spacing w:before="0" w:after="0" w:line="300" w:lineRule="auto"/>
              <w:ind w:firstLine="0" w:firstLineChars="0"/>
              <w:jc w:val="center"/>
              <w:rPr>
                <w:rFonts w:eastAsia="等线"/>
                <w:kern w:val="0"/>
                <w:sz w:val="24"/>
                <w:szCs w:val="24"/>
              </w:rPr>
            </w:pPr>
            <w:r>
              <w:rPr>
                <w:rFonts w:eastAsia="等线"/>
                <w:kern w:val="0"/>
                <w:sz w:val="24"/>
                <w:szCs w:val="24"/>
              </w:rPr>
              <w:t>4</w:t>
            </w:r>
            <w:r>
              <w:rPr>
                <w:rFonts w:hint="eastAsia" w:eastAsia="等线"/>
                <w:kern w:val="0"/>
                <w:sz w:val="24"/>
                <w:szCs w:val="24"/>
                <w:lang w:val="en-US" w:eastAsia="zh-CN"/>
              </w:rPr>
              <w:t>1.19</w:t>
            </w:r>
            <w:r>
              <w:rPr>
                <w:rFonts w:eastAsia="等线"/>
                <w:kern w:val="0"/>
                <w:sz w:val="24"/>
                <w:szCs w:val="24"/>
              </w:rPr>
              <w:t>%</w:t>
            </w:r>
          </w:p>
        </w:tc>
      </w:tr>
      <w:tr>
        <w:trPr>
          <w:trHeight w:val="626" w:hRule="atLeast"/>
        </w:trPr>
        <w:tc>
          <w:tcPr>
            <w:tcW w:w="805" w:type="dxa"/>
            <w:vMerge w:val="continue"/>
            <w:tcBorders>
              <w:top w:val="nil"/>
              <w:left w:val="single" w:color="auto" w:sz="4" w:space="0"/>
              <w:bottom w:val="single" w:color="000000" w:sz="4" w:space="0"/>
              <w:right w:val="single" w:color="auto" w:sz="4" w:space="0"/>
            </w:tcBorders>
            <w:vAlign w:val="center"/>
          </w:tcPr>
          <w:p>
            <w:pPr>
              <w:widowControl/>
              <w:spacing w:before="0" w:after="0" w:line="300" w:lineRule="auto"/>
              <w:ind w:firstLine="0" w:firstLineChars="0"/>
              <w:jc w:val="left"/>
              <w:rPr>
                <w:rFonts w:eastAsia="等线"/>
                <w:kern w:val="0"/>
                <w:sz w:val="24"/>
                <w:szCs w:val="24"/>
              </w:rPr>
            </w:pPr>
          </w:p>
        </w:tc>
        <w:tc>
          <w:tcPr>
            <w:tcW w:w="2381" w:type="dxa"/>
            <w:vMerge w:val="continue"/>
            <w:tcBorders>
              <w:top w:val="nil"/>
              <w:left w:val="single" w:color="auto" w:sz="4" w:space="0"/>
              <w:bottom w:val="single" w:color="000000" w:sz="4" w:space="0"/>
              <w:right w:val="single" w:color="auto" w:sz="4" w:space="0"/>
            </w:tcBorders>
            <w:vAlign w:val="center"/>
          </w:tcPr>
          <w:p>
            <w:pPr>
              <w:widowControl/>
              <w:spacing w:before="0" w:after="0" w:line="300" w:lineRule="auto"/>
              <w:ind w:firstLine="0" w:firstLineChars="0"/>
              <w:jc w:val="left"/>
              <w:rPr>
                <w:kern w:val="0"/>
                <w:sz w:val="24"/>
                <w:szCs w:val="24"/>
              </w:rPr>
            </w:pPr>
          </w:p>
        </w:tc>
        <w:tc>
          <w:tcPr>
            <w:tcW w:w="1399" w:type="dxa"/>
            <w:vMerge w:val="continue"/>
            <w:tcBorders>
              <w:top w:val="nil"/>
              <w:left w:val="single" w:color="auto" w:sz="4" w:space="0"/>
              <w:bottom w:val="single" w:color="000000" w:sz="4" w:space="0"/>
              <w:right w:val="single" w:color="auto" w:sz="4" w:space="0"/>
            </w:tcBorders>
            <w:vAlign w:val="center"/>
          </w:tcPr>
          <w:p>
            <w:pPr>
              <w:widowControl/>
              <w:spacing w:before="0" w:after="0" w:line="300" w:lineRule="auto"/>
              <w:ind w:firstLine="0" w:firstLineChars="0"/>
              <w:jc w:val="left"/>
              <w:rPr>
                <w:rFonts w:eastAsia="等线"/>
                <w:kern w:val="0"/>
                <w:sz w:val="24"/>
                <w:szCs w:val="24"/>
              </w:rPr>
            </w:pPr>
          </w:p>
        </w:tc>
        <w:tc>
          <w:tcPr>
            <w:tcW w:w="1261" w:type="dxa"/>
            <w:tcBorders>
              <w:top w:val="nil"/>
              <w:left w:val="nil"/>
              <w:bottom w:val="single" w:color="auto" w:sz="4" w:space="0"/>
              <w:right w:val="single" w:color="auto" w:sz="4" w:space="0"/>
            </w:tcBorders>
            <w:vAlign w:val="center"/>
          </w:tcPr>
          <w:p>
            <w:pPr>
              <w:widowControl/>
              <w:spacing w:before="0" w:after="0" w:line="300" w:lineRule="auto"/>
              <w:ind w:firstLine="0" w:firstLineChars="0"/>
              <w:jc w:val="center"/>
              <w:rPr>
                <w:kern w:val="0"/>
                <w:sz w:val="24"/>
                <w:szCs w:val="24"/>
              </w:rPr>
            </w:pPr>
            <w:r>
              <w:rPr>
                <w:kern w:val="0"/>
                <w:sz w:val="24"/>
                <w:szCs w:val="24"/>
              </w:rPr>
              <w:t>非公益性</w:t>
            </w:r>
          </w:p>
        </w:tc>
        <w:tc>
          <w:tcPr>
            <w:tcW w:w="1399" w:type="dxa"/>
            <w:tcBorders>
              <w:top w:val="nil"/>
              <w:left w:val="nil"/>
              <w:bottom w:val="single" w:color="auto" w:sz="4" w:space="0"/>
              <w:right w:val="single" w:color="auto" w:sz="4" w:space="0"/>
            </w:tcBorders>
            <w:vAlign w:val="center"/>
          </w:tcPr>
          <w:p>
            <w:pPr>
              <w:widowControl/>
              <w:spacing w:before="0" w:after="0" w:line="300" w:lineRule="auto"/>
              <w:ind w:firstLine="0" w:firstLineChars="0"/>
              <w:jc w:val="center"/>
              <w:rPr>
                <w:rFonts w:eastAsia="等线"/>
                <w:kern w:val="0"/>
                <w:sz w:val="24"/>
                <w:szCs w:val="24"/>
              </w:rPr>
            </w:pPr>
            <w:r>
              <w:rPr>
                <w:rFonts w:hint="eastAsia" w:eastAsia="等线"/>
                <w:kern w:val="0"/>
                <w:sz w:val="24"/>
                <w:szCs w:val="24"/>
              </w:rPr>
              <w:t>61.4075</w:t>
            </w:r>
          </w:p>
        </w:tc>
        <w:tc>
          <w:tcPr>
            <w:tcW w:w="1172" w:type="dxa"/>
            <w:tcBorders>
              <w:top w:val="nil"/>
              <w:left w:val="nil"/>
              <w:bottom w:val="single" w:color="auto" w:sz="4" w:space="0"/>
              <w:right w:val="single" w:color="auto" w:sz="4" w:space="0"/>
            </w:tcBorders>
            <w:vAlign w:val="center"/>
          </w:tcPr>
          <w:p>
            <w:pPr>
              <w:widowControl/>
              <w:spacing w:before="0" w:after="0" w:line="300" w:lineRule="auto"/>
              <w:ind w:firstLine="0" w:firstLineChars="0"/>
              <w:jc w:val="center"/>
              <w:rPr>
                <w:rFonts w:eastAsia="等线"/>
                <w:kern w:val="0"/>
                <w:sz w:val="24"/>
                <w:szCs w:val="24"/>
              </w:rPr>
            </w:pPr>
            <w:r>
              <w:rPr>
                <w:rFonts w:hint="eastAsia" w:eastAsia="等线"/>
                <w:kern w:val="0"/>
                <w:sz w:val="24"/>
                <w:szCs w:val="24"/>
                <w:lang w:val="en-US" w:eastAsia="zh-CN"/>
              </w:rPr>
              <w:t>58.81</w:t>
            </w:r>
            <w:r>
              <w:rPr>
                <w:rFonts w:eastAsia="等线"/>
                <w:kern w:val="0"/>
                <w:sz w:val="24"/>
                <w:szCs w:val="24"/>
              </w:rPr>
              <w:t>%</w:t>
            </w:r>
          </w:p>
        </w:tc>
      </w:tr>
      <w:tr>
        <w:trPr>
          <w:trHeight w:val="626" w:hRule="atLeast"/>
        </w:trPr>
        <w:tc>
          <w:tcPr>
            <w:tcW w:w="805" w:type="dxa"/>
            <w:vMerge w:val="restart"/>
            <w:tcBorders>
              <w:top w:val="nil"/>
              <w:left w:val="single" w:color="auto" w:sz="4" w:space="0"/>
              <w:bottom w:val="single" w:color="000000" w:sz="4" w:space="0"/>
              <w:right w:val="single" w:color="auto" w:sz="4" w:space="0"/>
            </w:tcBorders>
            <w:vAlign w:val="center"/>
          </w:tcPr>
          <w:p>
            <w:pPr>
              <w:widowControl/>
              <w:spacing w:before="0" w:after="0" w:line="300" w:lineRule="auto"/>
              <w:ind w:firstLine="0" w:firstLineChars="0"/>
              <w:jc w:val="center"/>
              <w:rPr>
                <w:rFonts w:eastAsia="等线"/>
                <w:kern w:val="0"/>
                <w:sz w:val="24"/>
                <w:szCs w:val="24"/>
              </w:rPr>
            </w:pPr>
            <w:r>
              <w:rPr>
                <w:rFonts w:hint="eastAsia" w:eastAsia="等线"/>
                <w:kern w:val="0"/>
                <w:sz w:val="24"/>
                <w:szCs w:val="24"/>
                <w:lang w:val="en-US" w:eastAsia="zh-CN"/>
              </w:rPr>
              <w:t>0</w:t>
            </w:r>
            <w:r>
              <w:rPr>
                <w:rFonts w:eastAsia="等线"/>
                <w:kern w:val="0"/>
                <w:sz w:val="24"/>
                <w:szCs w:val="24"/>
              </w:rPr>
              <w:t>2</w:t>
            </w:r>
          </w:p>
        </w:tc>
        <w:tc>
          <w:tcPr>
            <w:tcW w:w="2381" w:type="dxa"/>
            <w:vMerge w:val="restart"/>
            <w:tcBorders>
              <w:top w:val="nil"/>
              <w:left w:val="single" w:color="auto" w:sz="4" w:space="0"/>
              <w:bottom w:val="single" w:color="000000" w:sz="4" w:space="0"/>
              <w:right w:val="single" w:color="auto" w:sz="4" w:space="0"/>
            </w:tcBorders>
            <w:vAlign w:val="center"/>
          </w:tcPr>
          <w:p>
            <w:pPr>
              <w:widowControl/>
              <w:spacing w:before="0" w:after="0" w:line="300" w:lineRule="auto"/>
              <w:ind w:firstLine="0" w:firstLineChars="0"/>
              <w:jc w:val="center"/>
              <w:rPr>
                <w:kern w:val="0"/>
                <w:sz w:val="24"/>
                <w:szCs w:val="24"/>
              </w:rPr>
            </w:pPr>
            <w:r>
              <w:rPr>
                <w:rFonts w:hint="default" w:ascii="Times New Roman" w:hAnsi="Times New Roman" w:eastAsia="仿宋" w:cs="Times New Roman"/>
                <w:bCs w:val="0"/>
                <w:color w:val="000000"/>
                <w:kern w:val="0"/>
                <w:sz w:val="24"/>
                <w:szCs w:val="24"/>
                <w:lang w:val="en-US" w:eastAsia="zh-CN" w:bidi="ar-SA"/>
              </w:rPr>
              <w:t>云浮市中心城区思劳-腰古组团南片区-2</w:t>
            </w:r>
          </w:p>
        </w:tc>
        <w:tc>
          <w:tcPr>
            <w:tcW w:w="1399" w:type="dxa"/>
            <w:vMerge w:val="restart"/>
            <w:tcBorders>
              <w:top w:val="nil"/>
              <w:left w:val="single" w:color="auto" w:sz="4" w:space="0"/>
              <w:bottom w:val="single" w:color="000000" w:sz="4" w:space="0"/>
              <w:right w:val="single" w:color="auto" w:sz="4" w:space="0"/>
            </w:tcBorders>
            <w:vAlign w:val="center"/>
          </w:tcPr>
          <w:p>
            <w:pPr>
              <w:widowControl/>
              <w:spacing w:before="0" w:after="0" w:line="300" w:lineRule="auto"/>
              <w:ind w:firstLine="0" w:firstLineChars="0"/>
              <w:jc w:val="center"/>
              <w:rPr>
                <w:rFonts w:eastAsia="等线"/>
                <w:kern w:val="0"/>
                <w:sz w:val="24"/>
                <w:szCs w:val="24"/>
              </w:rPr>
            </w:pPr>
            <w:r>
              <w:rPr>
                <w:rFonts w:hint="eastAsia" w:eastAsia="宋体"/>
                <w:color w:val="000000"/>
                <w:kern w:val="0"/>
                <w:sz w:val="24"/>
                <w:szCs w:val="24"/>
              </w:rPr>
              <w:t>67.3043</w:t>
            </w:r>
            <w:r>
              <w:rPr>
                <w:rFonts w:eastAsia="等线"/>
                <w:kern w:val="0"/>
                <w:sz w:val="24"/>
                <w:szCs w:val="24"/>
              </w:rPr>
              <w:t xml:space="preserve"> </w:t>
            </w:r>
          </w:p>
        </w:tc>
        <w:tc>
          <w:tcPr>
            <w:tcW w:w="1261" w:type="dxa"/>
            <w:tcBorders>
              <w:top w:val="nil"/>
              <w:left w:val="nil"/>
              <w:bottom w:val="nil"/>
              <w:right w:val="single" w:color="auto" w:sz="4" w:space="0"/>
            </w:tcBorders>
            <w:vAlign w:val="center"/>
          </w:tcPr>
          <w:p>
            <w:pPr>
              <w:widowControl/>
              <w:spacing w:before="0" w:after="0" w:line="300" w:lineRule="auto"/>
              <w:ind w:firstLine="0" w:firstLineChars="0"/>
              <w:jc w:val="center"/>
              <w:rPr>
                <w:kern w:val="0"/>
                <w:sz w:val="24"/>
                <w:szCs w:val="24"/>
              </w:rPr>
            </w:pPr>
            <w:r>
              <w:rPr>
                <w:kern w:val="0"/>
                <w:sz w:val="24"/>
                <w:szCs w:val="24"/>
              </w:rPr>
              <w:t>公益性</w:t>
            </w:r>
          </w:p>
        </w:tc>
        <w:tc>
          <w:tcPr>
            <w:tcW w:w="1399" w:type="dxa"/>
            <w:tcBorders>
              <w:top w:val="nil"/>
              <w:left w:val="nil"/>
              <w:bottom w:val="single" w:color="auto" w:sz="4" w:space="0"/>
              <w:right w:val="single" w:color="auto" w:sz="4" w:space="0"/>
            </w:tcBorders>
            <w:vAlign w:val="center"/>
          </w:tcPr>
          <w:p>
            <w:pPr>
              <w:widowControl/>
              <w:spacing w:before="0" w:after="0" w:line="300" w:lineRule="auto"/>
              <w:ind w:firstLine="0" w:firstLineChars="0"/>
              <w:jc w:val="center"/>
              <w:rPr>
                <w:rFonts w:eastAsia="等线"/>
                <w:kern w:val="0"/>
                <w:sz w:val="24"/>
                <w:szCs w:val="24"/>
              </w:rPr>
            </w:pPr>
            <w:r>
              <w:rPr>
                <w:rFonts w:hint="eastAsia" w:eastAsia="等线"/>
                <w:kern w:val="0"/>
                <w:sz w:val="24"/>
                <w:szCs w:val="24"/>
              </w:rPr>
              <w:t>28.5414</w:t>
            </w:r>
          </w:p>
        </w:tc>
        <w:tc>
          <w:tcPr>
            <w:tcW w:w="1172" w:type="dxa"/>
            <w:tcBorders>
              <w:top w:val="nil"/>
              <w:left w:val="nil"/>
              <w:bottom w:val="single" w:color="auto" w:sz="4" w:space="0"/>
              <w:right w:val="single" w:color="auto" w:sz="4" w:space="0"/>
            </w:tcBorders>
            <w:vAlign w:val="center"/>
          </w:tcPr>
          <w:p>
            <w:pPr>
              <w:widowControl/>
              <w:spacing w:before="0" w:after="0" w:line="300" w:lineRule="auto"/>
              <w:ind w:firstLine="0" w:firstLineChars="0"/>
              <w:jc w:val="center"/>
              <w:rPr>
                <w:rFonts w:eastAsia="等线"/>
                <w:kern w:val="0"/>
                <w:sz w:val="24"/>
                <w:szCs w:val="24"/>
              </w:rPr>
            </w:pPr>
            <w:r>
              <w:rPr>
                <w:rFonts w:eastAsia="等线"/>
                <w:kern w:val="0"/>
                <w:sz w:val="24"/>
                <w:szCs w:val="24"/>
              </w:rPr>
              <w:t>4</w:t>
            </w:r>
            <w:r>
              <w:rPr>
                <w:rFonts w:hint="eastAsia" w:eastAsia="等线"/>
                <w:kern w:val="0"/>
                <w:sz w:val="24"/>
                <w:szCs w:val="24"/>
                <w:lang w:val="en-US" w:eastAsia="zh-CN"/>
              </w:rPr>
              <w:t>2.41</w:t>
            </w:r>
            <w:r>
              <w:rPr>
                <w:rFonts w:eastAsia="等线"/>
                <w:kern w:val="0"/>
                <w:sz w:val="24"/>
                <w:szCs w:val="24"/>
              </w:rPr>
              <w:t>%</w:t>
            </w:r>
          </w:p>
        </w:tc>
      </w:tr>
      <w:tr>
        <w:trPr>
          <w:trHeight w:val="747" w:hRule="atLeast"/>
        </w:trPr>
        <w:tc>
          <w:tcPr>
            <w:tcW w:w="805" w:type="dxa"/>
            <w:vMerge w:val="continue"/>
            <w:tcBorders>
              <w:top w:val="nil"/>
              <w:left w:val="single" w:color="auto" w:sz="4" w:space="0"/>
              <w:bottom w:val="single" w:color="000000" w:sz="4" w:space="0"/>
              <w:right w:val="single" w:color="auto" w:sz="4" w:space="0"/>
            </w:tcBorders>
            <w:vAlign w:val="center"/>
          </w:tcPr>
          <w:p>
            <w:pPr>
              <w:widowControl/>
              <w:spacing w:before="0" w:after="0" w:line="300" w:lineRule="auto"/>
              <w:ind w:firstLine="0" w:firstLineChars="0"/>
              <w:jc w:val="left"/>
              <w:rPr>
                <w:rFonts w:eastAsia="等线"/>
                <w:kern w:val="0"/>
                <w:sz w:val="24"/>
                <w:szCs w:val="24"/>
              </w:rPr>
            </w:pPr>
          </w:p>
        </w:tc>
        <w:tc>
          <w:tcPr>
            <w:tcW w:w="2381" w:type="dxa"/>
            <w:vMerge w:val="continue"/>
            <w:tcBorders>
              <w:top w:val="nil"/>
              <w:left w:val="single" w:color="auto" w:sz="4" w:space="0"/>
              <w:bottom w:val="single" w:color="000000" w:sz="4" w:space="0"/>
              <w:right w:val="single" w:color="auto" w:sz="4" w:space="0"/>
            </w:tcBorders>
            <w:vAlign w:val="center"/>
          </w:tcPr>
          <w:p>
            <w:pPr>
              <w:widowControl/>
              <w:spacing w:before="0" w:after="0" w:line="300" w:lineRule="auto"/>
              <w:ind w:firstLine="0" w:firstLineChars="0"/>
              <w:jc w:val="left"/>
              <w:rPr>
                <w:kern w:val="0"/>
                <w:sz w:val="24"/>
                <w:szCs w:val="24"/>
              </w:rPr>
            </w:pPr>
          </w:p>
        </w:tc>
        <w:tc>
          <w:tcPr>
            <w:tcW w:w="1399" w:type="dxa"/>
            <w:vMerge w:val="continue"/>
            <w:tcBorders>
              <w:top w:val="nil"/>
              <w:left w:val="single" w:color="auto" w:sz="4" w:space="0"/>
              <w:bottom w:val="single" w:color="000000" w:sz="4" w:space="0"/>
              <w:right w:val="single" w:color="auto" w:sz="4" w:space="0"/>
            </w:tcBorders>
            <w:vAlign w:val="center"/>
          </w:tcPr>
          <w:p>
            <w:pPr>
              <w:widowControl/>
              <w:spacing w:before="0" w:after="0" w:line="300" w:lineRule="auto"/>
              <w:ind w:firstLine="0" w:firstLineChars="0"/>
              <w:jc w:val="left"/>
              <w:rPr>
                <w:rFonts w:eastAsia="等线"/>
                <w:kern w:val="0"/>
                <w:sz w:val="24"/>
                <w:szCs w:val="24"/>
              </w:rPr>
            </w:pPr>
          </w:p>
        </w:tc>
        <w:tc>
          <w:tcPr>
            <w:tcW w:w="1261" w:type="dxa"/>
            <w:tcBorders>
              <w:top w:val="single" w:color="auto" w:sz="4" w:space="0"/>
              <w:left w:val="nil"/>
              <w:bottom w:val="single" w:color="auto" w:sz="4" w:space="0"/>
              <w:right w:val="single" w:color="auto" w:sz="4" w:space="0"/>
            </w:tcBorders>
            <w:vAlign w:val="center"/>
          </w:tcPr>
          <w:p>
            <w:pPr>
              <w:widowControl/>
              <w:spacing w:before="0" w:after="0" w:line="300" w:lineRule="auto"/>
              <w:ind w:firstLine="0" w:firstLineChars="0"/>
              <w:jc w:val="center"/>
              <w:rPr>
                <w:kern w:val="0"/>
                <w:sz w:val="24"/>
                <w:szCs w:val="24"/>
              </w:rPr>
            </w:pPr>
            <w:r>
              <w:rPr>
                <w:kern w:val="0"/>
                <w:sz w:val="24"/>
                <w:szCs w:val="24"/>
              </w:rPr>
              <w:t>非公益性</w:t>
            </w:r>
          </w:p>
        </w:tc>
        <w:tc>
          <w:tcPr>
            <w:tcW w:w="1399" w:type="dxa"/>
            <w:tcBorders>
              <w:top w:val="nil"/>
              <w:left w:val="nil"/>
              <w:bottom w:val="single" w:color="auto" w:sz="4" w:space="0"/>
              <w:right w:val="single" w:color="auto" w:sz="4" w:space="0"/>
            </w:tcBorders>
            <w:vAlign w:val="center"/>
          </w:tcPr>
          <w:p>
            <w:pPr>
              <w:widowControl/>
              <w:spacing w:before="0" w:after="0" w:line="300" w:lineRule="auto"/>
              <w:ind w:firstLine="0" w:firstLineChars="0"/>
              <w:jc w:val="center"/>
              <w:rPr>
                <w:rFonts w:eastAsia="等线"/>
                <w:kern w:val="0"/>
                <w:sz w:val="24"/>
                <w:szCs w:val="24"/>
              </w:rPr>
            </w:pPr>
            <w:r>
              <w:rPr>
                <w:rFonts w:hint="eastAsia" w:eastAsia="等线"/>
                <w:kern w:val="0"/>
                <w:sz w:val="24"/>
                <w:szCs w:val="24"/>
              </w:rPr>
              <w:t>38.7629</w:t>
            </w:r>
          </w:p>
        </w:tc>
        <w:tc>
          <w:tcPr>
            <w:tcW w:w="1172" w:type="dxa"/>
            <w:tcBorders>
              <w:top w:val="nil"/>
              <w:left w:val="nil"/>
              <w:bottom w:val="single" w:color="auto" w:sz="4" w:space="0"/>
              <w:right w:val="single" w:color="auto" w:sz="4" w:space="0"/>
            </w:tcBorders>
            <w:vAlign w:val="center"/>
          </w:tcPr>
          <w:p>
            <w:pPr>
              <w:widowControl/>
              <w:spacing w:before="0" w:after="0" w:line="300" w:lineRule="auto"/>
              <w:ind w:firstLine="0" w:firstLineChars="0"/>
              <w:jc w:val="center"/>
              <w:rPr>
                <w:rFonts w:eastAsia="等线"/>
                <w:kern w:val="0"/>
                <w:sz w:val="24"/>
                <w:szCs w:val="24"/>
              </w:rPr>
            </w:pPr>
            <w:r>
              <w:rPr>
                <w:rFonts w:hint="eastAsia" w:eastAsia="等线"/>
                <w:kern w:val="0"/>
                <w:sz w:val="24"/>
                <w:szCs w:val="24"/>
                <w:lang w:val="en-US" w:eastAsia="zh-CN"/>
              </w:rPr>
              <w:t>57.59</w:t>
            </w:r>
            <w:r>
              <w:rPr>
                <w:rFonts w:eastAsia="等线"/>
                <w:kern w:val="0"/>
                <w:sz w:val="24"/>
                <w:szCs w:val="24"/>
              </w:rPr>
              <w:t>%</w:t>
            </w:r>
          </w:p>
        </w:tc>
      </w:tr>
      <w:tr>
        <w:trPr>
          <w:trHeight w:val="782" w:hRule="atLeast"/>
        </w:trPr>
        <w:tc>
          <w:tcPr>
            <w:tcW w:w="805" w:type="dxa"/>
            <w:vMerge w:val="restart"/>
            <w:tcBorders>
              <w:top w:val="nil"/>
              <w:left w:val="single" w:color="auto" w:sz="4" w:space="0"/>
              <w:right w:val="single" w:color="auto" w:sz="4" w:space="0"/>
            </w:tcBorders>
            <w:vAlign w:val="center"/>
          </w:tcPr>
          <w:p>
            <w:pPr>
              <w:widowControl/>
              <w:spacing w:before="0" w:after="0" w:line="300" w:lineRule="auto"/>
              <w:ind w:firstLine="0" w:firstLineChars="0"/>
              <w:jc w:val="left"/>
              <w:rPr>
                <w:rFonts w:hint="default" w:eastAsia="等线"/>
                <w:kern w:val="0"/>
                <w:sz w:val="24"/>
                <w:szCs w:val="24"/>
                <w:lang w:val="en-US" w:eastAsia="zh-CN"/>
              </w:rPr>
            </w:pPr>
            <w:r>
              <w:rPr>
                <w:rFonts w:hint="eastAsia" w:eastAsia="等线"/>
                <w:kern w:val="0"/>
                <w:sz w:val="24"/>
                <w:szCs w:val="24"/>
                <w:lang w:val="en-US" w:eastAsia="zh-CN"/>
              </w:rPr>
              <w:t>03</w:t>
            </w:r>
          </w:p>
        </w:tc>
        <w:tc>
          <w:tcPr>
            <w:tcW w:w="2381" w:type="dxa"/>
            <w:vMerge w:val="restart"/>
            <w:tcBorders>
              <w:top w:val="nil"/>
              <w:left w:val="single" w:color="auto" w:sz="4" w:space="0"/>
              <w:right w:val="single" w:color="auto" w:sz="4" w:space="0"/>
            </w:tcBorders>
            <w:vAlign w:val="center"/>
          </w:tcPr>
          <w:p>
            <w:pPr>
              <w:widowControl/>
              <w:spacing w:before="0" w:after="0" w:line="300" w:lineRule="auto"/>
              <w:ind w:firstLine="0" w:firstLineChars="0"/>
              <w:jc w:val="left"/>
              <w:rPr>
                <w:kern w:val="0"/>
                <w:sz w:val="24"/>
                <w:szCs w:val="24"/>
              </w:rPr>
            </w:pPr>
            <w:r>
              <w:rPr>
                <w:rFonts w:hint="default" w:ascii="Times New Roman" w:hAnsi="Times New Roman" w:eastAsia="仿宋" w:cs="Times New Roman"/>
                <w:bCs w:val="0"/>
                <w:color w:val="000000"/>
                <w:kern w:val="0"/>
                <w:sz w:val="24"/>
                <w:szCs w:val="24"/>
                <w:lang w:val="en-US" w:eastAsia="zh-CN" w:bidi="ar-SA"/>
              </w:rPr>
              <w:t>佛山（云浮）产业转移工业园（思劳片区）西片区</w:t>
            </w:r>
          </w:p>
        </w:tc>
        <w:tc>
          <w:tcPr>
            <w:tcW w:w="1399" w:type="dxa"/>
            <w:vMerge w:val="restart"/>
            <w:tcBorders>
              <w:top w:val="nil"/>
              <w:left w:val="single" w:color="auto" w:sz="4" w:space="0"/>
              <w:right w:val="single" w:color="auto" w:sz="4" w:space="0"/>
            </w:tcBorders>
            <w:vAlign w:val="center"/>
          </w:tcPr>
          <w:p>
            <w:pPr>
              <w:widowControl/>
              <w:spacing w:before="0" w:after="0" w:line="300" w:lineRule="auto"/>
              <w:ind w:firstLine="0" w:firstLineChars="0"/>
              <w:jc w:val="center"/>
              <w:rPr>
                <w:rFonts w:ascii="Times New Roman" w:hAnsi="Times New Roman" w:eastAsia="等线" w:cs="Times New Roman"/>
                <w:kern w:val="0"/>
                <w:sz w:val="24"/>
                <w:szCs w:val="24"/>
                <w:lang w:val="en-US" w:eastAsia="zh-CN" w:bidi="ar-SA"/>
              </w:rPr>
            </w:pPr>
            <w:r>
              <w:rPr>
                <w:rFonts w:hint="eastAsia" w:eastAsia="宋体"/>
                <w:color w:val="000000"/>
                <w:kern w:val="0"/>
                <w:sz w:val="24"/>
                <w:szCs w:val="24"/>
              </w:rPr>
              <w:t>8.1146</w:t>
            </w:r>
          </w:p>
        </w:tc>
        <w:tc>
          <w:tcPr>
            <w:tcW w:w="1261" w:type="dxa"/>
            <w:tcBorders>
              <w:top w:val="single" w:color="auto" w:sz="4" w:space="0"/>
              <w:left w:val="nil"/>
              <w:bottom w:val="single" w:color="auto" w:sz="4" w:space="0"/>
              <w:right w:val="single" w:color="auto" w:sz="4" w:space="0"/>
            </w:tcBorders>
            <w:vAlign w:val="center"/>
          </w:tcPr>
          <w:p>
            <w:pPr>
              <w:widowControl/>
              <w:spacing w:before="0" w:after="0" w:line="300" w:lineRule="auto"/>
              <w:ind w:firstLine="0" w:firstLineChars="0"/>
              <w:jc w:val="center"/>
              <w:rPr>
                <w:rFonts w:ascii="Times New Roman" w:hAnsi="Times New Roman" w:eastAsia="仿宋" w:cs="Times New Roman"/>
                <w:kern w:val="0"/>
                <w:sz w:val="24"/>
                <w:szCs w:val="24"/>
                <w:lang w:val="en-US" w:eastAsia="zh-CN" w:bidi="ar-SA"/>
              </w:rPr>
            </w:pPr>
            <w:r>
              <w:rPr>
                <w:kern w:val="0"/>
                <w:sz w:val="24"/>
                <w:szCs w:val="24"/>
              </w:rPr>
              <w:t>公益性</w:t>
            </w:r>
          </w:p>
        </w:tc>
        <w:tc>
          <w:tcPr>
            <w:tcW w:w="1399" w:type="dxa"/>
            <w:tcBorders>
              <w:top w:val="nil"/>
              <w:left w:val="nil"/>
              <w:bottom w:val="single" w:color="auto" w:sz="4" w:space="0"/>
              <w:right w:val="single" w:color="auto" w:sz="4" w:space="0"/>
            </w:tcBorders>
            <w:vAlign w:val="center"/>
          </w:tcPr>
          <w:p>
            <w:pPr>
              <w:widowControl/>
              <w:spacing w:before="0" w:after="0" w:line="300" w:lineRule="auto"/>
              <w:ind w:firstLine="0" w:firstLineChars="0"/>
              <w:jc w:val="center"/>
              <w:rPr>
                <w:rFonts w:ascii="Times New Roman" w:hAnsi="Times New Roman" w:eastAsia="等线" w:cs="Times New Roman"/>
                <w:kern w:val="0"/>
                <w:sz w:val="24"/>
                <w:szCs w:val="24"/>
                <w:lang w:val="en-US" w:eastAsia="zh-CN" w:bidi="ar-SA"/>
              </w:rPr>
            </w:pPr>
            <w:r>
              <w:rPr>
                <w:rFonts w:hint="eastAsia" w:eastAsia="等线"/>
                <w:kern w:val="0"/>
                <w:sz w:val="24"/>
                <w:szCs w:val="24"/>
              </w:rPr>
              <w:t>3.3282</w:t>
            </w:r>
            <w:r>
              <w:rPr>
                <w:rFonts w:eastAsia="等线"/>
                <w:kern w:val="0"/>
                <w:sz w:val="24"/>
                <w:szCs w:val="24"/>
              </w:rPr>
              <w:t xml:space="preserve"> </w:t>
            </w:r>
          </w:p>
        </w:tc>
        <w:tc>
          <w:tcPr>
            <w:tcW w:w="1172" w:type="dxa"/>
            <w:tcBorders>
              <w:top w:val="nil"/>
              <w:left w:val="nil"/>
              <w:bottom w:val="single" w:color="auto" w:sz="4" w:space="0"/>
              <w:right w:val="single" w:color="auto" w:sz="4" w:space="0"/>
            </w:tcBorders>
            <w:vAlign w:val="center"/>
          </w:tcPr>
          <w:p>
            <w:pPr>
              <w:widowControl/>
              <w:spacing w:before="0" w:after="0" w:line="300" w:lineRule="auto"/>
              <w:ind w:firstLine="0" w:firstLineChars="0"/>
              <w:jc w:val="center"/>
              <w:rPr>
                <w:rFonts w:ascii="Times New Roman" w:hAnsi="Times New Roman" w:eastAsia="等线" w:cs="Times New Roman"/>
                <w:kern w:val="0"/>
                <w:sz w:val="24"/>
                <w:szCs w:val="24"/>
                <w:lang w:val="en-US" w:eastAsia="zh-CN" w:bidi="ar-SA"/>
              </w:rPr>
            </w:pPr>
            <w:r>
              <w:rPr>
                <w:rFonts w:eastAsia="等线"/>
                <w:kern w:val="0"/>
                <w:sz w:val="24"/>
                <w:szCs w:val="24"/>
              </w:rPr>
              <w:t>4</w:t>
            </w:r>
            <w:r>
              <w:rPr>
                <w:rFonts w:hint="eastAsia" w:eastAsia="等线"/>
                <w:kern w:val="0"/>
                <w:sz w:val="24"/>
                <w:szCs w:val="24"/>
                <w:lang w:val="en-US" w:eastAsia="zh-CN"/>
              </w:rPr>
              <w:t>1.01</w:t>
            </w:r>
            <w:r>
              <w:rPr>
                <w:rFonts w:eastAsia="等线"/>
                <w:kern w:val="0"/>
                <w:sz w:val="24"/>
                <w:szCs w:val="24"/>
              </w:rPr>
              <w:t>%</w:t>
            </w:r>
          </w:p>
        </w:tc>
      </w:tr>
      <w:tr>
        <w:trPr>
          <w:trHeight w:val="646" w:hRule="atLeast"/>
        </w:trPr>
        <w:tc>
          <w:tcPr>
            <w:tcW w:w="805" w:type="dxa"/>
            <w:vMerge w:val="continue"/>
            <w:tcBorders>
              <w:left w:val="single" w:color="auto" w:sz="4" w:space="0"/>
              <w:bottom w:val="single" w:color="000000" w:sz="4" w:space="0"/>
              <w:right w:val="single" w:color="auto" w:sz="4" w:space="0"/>
            </w:tcBorders>
            <w:vAlign w:val="center"/>
          </w:tcPr>
          <w:p>
            <w:pPr>
              <w:widowControl/>
              <w:spacing w:before="0" w:after="0" w:line="300" w:lineRule="auto"/>
              <w:ind w:firstLine="0" w:firstLineChars="0"/>
              <w:jc w:val="left"/>
              <w:rPr>
                <w:rFonts w:eastAsia="等线"/>
                <w:kern w:val="0"/>
                <w:sz w:val="24"/>
                <w:szCs w:val="24"/>
              </w:rPr>
            </w:pPr>
          </w:p>
        </w:tc>
        <w:tc>
          <w:tcPr>
            <w:tcW w:w="2381" w:type="dxa"/>
            <w:vMerge w:val="continue"/>
            <w:tcBorders>
              <w:left w:val="single" w:color="auto" w:sz="4" w:space="0"/>
              <w:bottom w:val="single" w:color="000000" w:sz="4" w:space="0"/>
              <w:right w:val="single" w:color="auto" w:sz="4" w:space="0"/>
            </w:tcBorders>
            <w:vAlign w:val="center"/>
          </w:tcPr>
          <w:p>
            <w:pPr>
              <w:widowControl/>
              <w:spacing w:before="0" w:after="0" w:line="300" w:lineRule="auto"/>
              <w:ind w:firstLine="0" w:firstLineChars="0"/>
              <w:jc w:val="left"/>
              <w:rPr>
                <w:kern w:val="0"/>
                <w:sz w:val="24"/>
                <w:szCs w:val="24"/>
              </w:rPr>
            </w:pPr>
          </w:p>
        </w:tc>
        <w:tc>
          <w:tcPr>
            <w:tcW w:w="1399" w:type="dxa"/>
            <w:vMerge w:val="continue"/>
            <w:tcBorders>
              <w:left w:val="single" w:color="auto" w:sz="4" w:space="0"/>
              <w:bottom w:val="single" w:color="000000" w:sz="4" w:space="0"/>
              <w:right w:val="single" w:color="auto" w:sz="4" w:space="0"/>
            </w:tcBorders>
            <w:vAlign w:val="center"/>
          </w:tcPr>
          <w:p>
            <w:pPr>
              <w:widowControl/>
              <w:spacing w:before="0" w:after="0" w:line="300" w:lineRule="auto"/>
              <w:ind w:firstLine="0" w:firstLineChars="0"/>
              <w:jc w:val="left"/>
              <w:rPr>
                <w:rFonts w:eastAsia="等线"/>
                <w:kern w:val="0"/>
                <w:sz w:val="24"/>
                <w:szCs w:val="24"/>
              </w:rPr>
            </w:pPr>
          </w:p>
        </w:tc>
        <w:tc>
          <w:tcPr>
            <w:tcW w:w="1261" w:type="dxa"/>
            <w:tcBorders>
              <w:top w:val="single" w:color="auto" w:sz="4" w:space="0"/>
              <w:left w:val="nil"/>
              <w:bottom w:val="single" w:color="auto" w:sz="4" w:space="0"/>
              <w:right w:val="single" w:color="auto" w:sz="4" w:space="0"/>
            </w:tcBorders>
            <w:vAlign w:val="center"/>
          </w:tcPr>
          <w:p>
            <w:pPr>
              <w:widowControl/>
              <w:spacing w:before="0" w:after="0" w:line="300" w:lineRule="auto"/>
              <w:ind w:firstLine="0" w:firstLineChars="0"/>
              <w:jc w:val="center"/>
              <w:rPr>
                <w:rFonts w:ascii="Times New Roman" w:hAnsi="Times New Roman" w:eastAsia="仿宋" w:cs="Times New Roman"/>
                <w:kern w:val="0"/>
                <w:sz w:val="24"/>
                <w:szCs w:val="24"/>
                <w:lang w:val="en-US" w:eastAsia="zh-CN" w:bidi="ar-SA"/>
              </w:rPr>
            </w:pPr>
            <w:r>
              <w:rPr>
                <w:kern w:val="0"/>
                <w:sz w:val="24"/>
                <w:szCs w:val="24"/>
              </w:rPr>
              <w:t>非公益性</w:t>
            </w:r>
          </w:p>
        </w:tc>
        <w:tc>
          <w:tcPr>
            <w:tcW w:w="1399" w:type="dxa"/>
            <w:tcBorders>
              <w:top w:val="nil"/>
              <w:left w:val="nil"/>
              <w:bottom w:val="single" w:color="auto" w:sz="4" w:space="0"/>
              <w:right w:val="single" w:color="auto" w:sz="4" w:space="0"/>
            </w:tcBorders>
            <w:vAlign w:val="center"/>
          </w:tcPr>
          <w:p>
            <w:pPr>
              <w:widowControl/>
              <w:spacing w:before="0" w:after="0" w:line="300" w:lineRule="auto"/>
              <w:ind w:firstLine="0" w:firstLineChars="0"/>
              <w:jc w:val="center"/>
              <w:rPr>
                <w:rFonts w:ascii="Times New Roman" w:hAnsi="Times New Roman" w:eastAsia="等线" w:cs="Times New Roman"/>
                <w:kern w:val="0"/>
                <w:sz w:val="24"/>
                <w:szCs w:val="24"/>
                <w:lang w:val="en-US" w:eastAsia="zh-CN" w:bidi="ar-SA"/>
              </w:rPr>
            </w:pPr>
            <w:r>
              <w:rPr>
                <w:rFonts w:hint="eastAsia" w:eastAsia="等线"/>
                <w:kern w:val="0"/>
                <w:sz w:val="24"/>
                <w:szCs w:val="24"/>
              </w:rPr>
              <w:t>4.7864</w:t>
            </w:r>
          </w:p>
        </w:tc>
        <w:tc>
          <w:tcPr>
            <w:tcW w:w="1172" w:type="dxa"/>
            <w:tcBorders>
              <w:top w:val="nil"/>
              <w:left w:val="nil"/>
              <w:bottom w:val="single" w:color="auto" w:sz="4" w:space="0"/>
              <w:right w:val="single" w:color="auto" w:sz="4" w:space="0"/>
            </w:tcBorders>
            <w:vAlign w:val="center"/>
          </w:tcPr>
          <w:p>
            <w:pPr>
              <w:widowControl/>
              <w:spacing w:before="0" w:after="0" w:line="300" w:lineRule="auto"/>
              <w:ind w:firstLine="0" w:firstLineChars="0"/>
              <w:jc w:val="center"/>
              <w:rPr>
                <w:rFonts w:ascii="Times New Roman" w:hAnsi="Times New Roman" w:eastAsia="等线" w:cs="Times New Roman"/>
                <w:kern w:val="0"/>
                <w:sz w:val="24"/>
                <w:szCs w:val="24"/>
                <w:lang w:val="en-US" w:eastAsia="zh-CN" w:bidi="ar-SA"/>
              </w:rPr>
            </w:pPr>
            <w:r>
              <w:rPr>
                <w:rFonts w:hint="eastAsia" w:eastAsia="等线"/>
                <w:kern w:val="0"/>
                <w:sz w:val="24"/>
                <w:szCs w:val="24"/>
                <w:lang w:val="en-US" w:eastAsia="zh-CN"/>
              </w:rPr>
              <w:t>58.99</w:t>
            </w:r>
            <w:r>
              <w:rPr>
                <w:rFonts w:eastAsia="等线"/>
                <w:kern w:val="0"/>
                <w:sz w:val="24"/>
                <w:szCs w:val="24"/>
              </w:rPr>
              <w:t>%</w:t>
            </w:r>
          </w:p>
        </w:tc>
      </w:tr>
      <w:tr>
        <w:trPr>
          <w:trHeight w:val="639" w:hRule="atLeast"/>
        </w:trPr>
        <w:tc>
          <w:tcPr>
            <w:tcW w:w="3186" w:type="dxa"/>
            <w:gridSpan w:val="2"/>
            <w:tcBorders>
              <w:top w:val="single" w:color="auto" w:sz="4" w:space="0"/>
              <w:left w:val="single" w:color="auto" w:sz="4" w:space="0"/>
              <w:bottom w:val="single" w:color="auto" w:sz="4" w:space="0"/>
              <w:right w:val="single" w:color="auto" w:sz="4" w:space="0"/>
            </w:tcBorders>
            <w:vAlign w:val="center"/>
          </w:tcPr>
          <w:p>
            <w:pPr>
              <w:widowControl/>
              <w:spacing w:before="0" w:after="0" w:line="300" w:lineRule="auto"/>
              <w:ind w:firstLine="0" w:firstLineChars="0"/>
              <w:jc w:val="center"/>
              <w:rPr>
                <w:b/>
                <w:kern w:val="0"/>
                <w:sz w:val="24"/>
                <w:szCs w:val="24"/>
              </w:rPr>
            </w:pPr>
            <w:r>
              <w:rPr>
                <w:b/>
                <w:kern w:val="0"/>
                <w:sz w:val="24"/>
                <w:szCs w:val="24"/>
              </w:rPr>
              <w:t>合计</w:t>
            </w:r>
          </w:p>
        </w:tc>
        <w:tc>
          <w:tcPr>
            <w:tcW w:w="5231" w:type="dxa"/>
            <w:gridSpan w:val="4"/>
            <w:tcBorders>
              <w:top w:val="single" w:color="auto" w:sz="4" w:space="0"/>
              <w:left w:val="nil"/>
              <w:bottom w:val="single" w:color="auto" w:sz="4" w:space="0"/>
              <w:right w:val="single" w:color="auto" w:sz="4" w:space="0"/>
            </w:tcBorders>
            <w:vAlign w:val="center"/>
          </w:tcPr>
          <w:p>
            <w:pPr>
              <w:widowControl/>
              <w:spacing w:before="0" w:after="0" w:line="300" w:lineRule="auto"/>
              <w:ind w:firstLine="0" w:firstLineChars="0"/>
              <w:jc w:val="center"/>
              <w:rPr>
                <w:rFonts w:eastAsia="等线"/>
                <w:b/>
                <w:kern w:val="0"/>
                <w:sz w:val="24"/>
                <w:szCs w:val="24"/>
              </w:rPr>
            </w:pPr>
            <w:r>
              <w:rPr>
                <w:rFonts w:hint="eastAsia" w:eastAsia="宋体"/>
                <w:b/>
                <w:bCs/>
                <w:color w:val="000000"/>
                <w:kern w:val="0"/>
                <w:sz w:val="24"/>
                <w:szCs w:val="24"/>
              </w:rPr>
              <w:t>179.8304</w:t>
            </w:r>
          </w:p>
        </w:tc>
      </w:tr>
    </w:tbl>
    <w:p>
      <w:pPr>
        <w:rPr>
          <w:rFonts w:ascii="Times New Roman" w:hAnsi="Times New Roman"/>
        </w:rPr>
      </w:pPr>
    </w:p>
    <w:p>
      <w:pPr>
        <w:pStyle w:val="10"/>
        <w:keepNext w:val="0"/>
        <w:keepLines w:val="0"/>
        <w:pageBreakBefore w:val="0"/>
        <w:widowControl/>
        <w:kinsoku/>
        <w:wordWrap/>
        <w:overflowPunct/>
        <w:topLinePunct w:val="0"/>
        <w:autoSpaceDE/>
        <w:autoSpaceDN/>
        <w:bidi w:val="0"/>
        <w:adjustRightInd/>
        <w:snapToGrid/>
        <w:spacing w:after="287" w:afterLines="75"/>
        <w:ind w:left="0"/>
        <w:textAlignment w:val="auto"/>
        <w:rPr>
          <w:rFonts w:ascii="Times New Roman" w:hAnsi="Times New Roman"/>
        </w:rPr>
      </w:pPr>
      <w:r>
        <w:rPr>
          <w:rFonts w:ascii="Times New Roman" w:hAnsi="Times New Roman"/>
        </w:rPr>
        <w:t>实施计划</w:t>
      </w:r>
    </w:p>
    <w:p>
      <w:pPr>
        <w:pStyle w:val="12"/>
        <w:spacing w:before="95" w:after="95"/>
        <w:ind w:firstLine="560"/>
      </w:pPr>
      <w:r>
        <w:t>本成片开发方案遵循节约利用土地资源原则，符合《通知》要求，统筹考虑资源禀赋、基础设施情况、征收难度、融资情况、建设计划等因素，综合论证后制定拟建项目开发时序及年度实施计划，</w:t>
      </w:r>
      <w:r>
        <w:rPr>
          <w:rFonts w:hint="eastAsia"/>
          <w:lang w:eastAsia="zh-CN"/>
        </w:rPr>
        <w:t>云城区</w:t>
      </w:r>
      <w:r>
        <w:t>土地征收成片开发拟建项目用地开发时序为2023年至2025年，即到2025年全部项目用地完成土地征收工作，征收土地</w:t>
      </w:r>
      <w:r>
        <w:rPr>
          <w:rFonts w:hint="eastAsia"/>
        </w:rPr>
        <w:t>134.2308</w:t>
      </w:r>
      <w:r>
        <w:t>公顷，征地比例为</w:t>
      </w:r>
      <w:r>
        <w:rPr>
          <w:rFonts w:hint="eastAsia"/>
          <w:lang w:val="en-US" w:eastAsia="zh-CN"/>
        </w:rPr>
        <w:t>74.64</w:t>
      </w:r>
      <w:r>
        <w:t>%，满足大于60%的要求。</w:t>
      </w:r>
    </w:p>
    <w:p>
      <w:pPr>
        <w:rPr>
          <w:rFonts w:ascii="Times New Roman" w:hAnsi="Times New Roman"/>
        </w:rPr>
      </w:pPr>
      <w:r>
        <w:rPr>
          <w:rFonts w:ascii="Times New Roman" w:hAnsi="Times New Roman"/>
        </w:rPr>
        <w:br w:type="page"/>
      </w:r>
    </w:p>
    <w:p>
      <w:pPr>
        <w:pStyle w:val="10"/>
        <w:keepNext w:val="0"/>
        <w:keepLines w:val="0"/>
        <w:pageBreakBefore w:val="0"/>
        <w:widowControl/>
        <w:kinsoku/>
        <w:wordWrap/>
        <w:overflowPunct/>
        <w:topLinePunct w:val="0"/>
        <w:autoSpaceDE/>
        <w:autoSpaceDN/>
        <w:bidi w:val="0"/>
        <w:adjustRightInd/>
        <w:snapToGrid/>
        <w:spacing w:after="287" w:afterLines="75"/>
        <w:ind w:left="0"/>
        <w:textAlignment w:val="auto"/>
        <w:rPr>
          <w:rFonts w:ascii="Times New Roman" w:hAnsi="Times New Roman"/>
        </w:rPr>
      </w:pPr>
      <w:r>
        <w:rPr>
          <w:rFonts w:ascii="Times New Roman" w:hAnsi="Times New Roman"/>
        </w:rPr>
        <w:t>效益评估</w:t>
      </w:r>
    </w:p>
    <w:p>
      <w:pPr>
        <w:pStyle w:val="11"/>
        <w:rPr>
          <w:rFonts w:ascii="Times New Roman" w:hAnsi="Times New Roman"/>
        </w:rPr>
      </w:pPr>
      <w:r>
        <w:rPr>
          <w:rFonts w:ascii="Times New Roman" w:hAnsi="Times New Roman"/>
        </w:rPr>
        <w:t>（一）土地利用效益</w:t>
      </w:r>
    </w:p>
    <w:p>
      <w:pPr>
        <w:pStyle w:val="12"/>
        <w:spacing w:before="95" w:after="95"/>
        <w:ind w:firstLine="560"/>
        <w:rPr>
          <w:rFonts w:hint="eastAsia"/>
        </w:rPr>
      </w:pPr>
      <w:r>
        <w:rPr>
          <w:rFonts w:hint="eastAsia"/>
        </w:rPr>
        <w:t>本次云城区土地征收成片开发总面积179.8304公顷，分为3个片区，覆盖云浮市中心城区思劳-腰古组团南片区、佛山（云浮）产业转移工业园（思劳）西片区2个控规单元。通过开展土地征收成片开发，有利于盘活区域土地存量，有助于节约集约利用土地，提高土地利用效率。</w:t>
      </w:r>
    </w:p>
    <w:p>
      <w:pPr>
        <w:pStyle w:val="12"/>
        <w:spacing w:before="95" w:after="95"/>
        <w:ind w:firstLine="560"/>
      </w:pPr>
      <w:r>
        <w:rPr>
          <w:rFonts w:hint="eastAsia"/>
        </w:rPr>
        <w:t>在布局优化方面，片区规划用地符合《中华人民共和国城乡规划法》（2019年修正）、《云浮市城市规划技术管理规定》（云府办〔2018〕1号）等法律法规要求，能够科学合理布局各类用地、优化区域功能结构；土地征收成片开发片区内土地开发利用率高，片区规划与周边地块作了充分衔接，充分考虑与周边环境的协调性，有利于进一步促进区域的集中连片发展，完善区域公共配套设施，且有利于土地高效立体开发利用。</w:t>
      </w:r>
    </w:p>
    <w:p>
      <w:pPr>
        <w:pStyle w:val="11"/>
        <w:rPr>
          <w:rFonts w:ascii="Times New Roman" w:hAnsi="Times New Roman"/>
        </w:rPr>
      </w:pPr>
      <w:r>
        <w:rPr>
          <w:rFonts w:ascii="Times New Roman" w:hAnsi="Times New Roman"/>
        </w:rPr>
        <w:t>（二）社会经济效益</w:t>
      </w:r>
    </w:p>
    <w:p>
      <w:pPr>
        <w:ind w:firstLine="560"/>
        <w:rPr>
          <w:rFonts w:hint="default" w:ascii="Times New Roman" w:hAnsi="Times New Roman" w:cs="Times New Roman"/>
        </w:rPr>
      </w:pPr>
      <w:r>
        <w:rPr>
          <w:rFonts w:hint="default" w:ascii="Times New Roman" w:hAnsi="Times New Roman" w:cs="Times New Roman"/>
        </w:rPr>
        <w:t>本次土地征收成片开发项目中，公益性项目用地面积74.8736公顷，公益性用地比例为4</w:t>
      </w:r>
      <w:r>
        <w:rPr>
          <w:rFonts w:hint="default" w:ascii="Times New Roman" w:hAnsi="Times New Roman" w:cs="Times New Roman"/>
          <w:lang w:val="en-US" w:eastAsia="zh-CN"/>
        </w:rPr>
        <w:t>1</w:t>
      </w:r>
      <w:r>
        <w:rPr>
          <w:rFonts w:hint="default" w:ascii="Times New Roman" w:hAnsi="Times New Roman" w:cs="Times New Roman"/>
        </w:rPr>
        <w:t>.</w:t>
      </w:r>
      <w:r>
        <w:rPr>
          <w:rFonts w:hint="default" w:ascii="Times New Roman" w:hAnsi="Times New Roman" w:cs="Times New Roman"/>
          <w:lang w:val="en-US" w:eastAsia="zh-CN"/>
        </w:rPr>
        <w:t>64</w:t>
      </w:r>
      <w:r>
        <w:rPr>
          <w:rFonts w:hint="default" w:ascii="Times New Roman" w:hAnsi="Times New Roman" w:cs="Times New Roman"/>
        </w:rPr>
        <w:t>%。公益性用地项目的类型主要有防护绿地、</w:t>
      </w:r>
      <w:r>
        <w:rPr>
          <w:rFonts w:hint="default" w:ascii="Times New Roman" w:hAnsi="Times New Roman" w:cs="Times New Roman"/>
          <w:lang w:val="en-US" w:eastAsia="zh-CN"/>
        </w:rPr>
        <w:t>公园绿地、</w:t>
      </w:r>
      <w:r>
        <w:rPr>
          <w:rFonts w:hint="default" w:ascii="Times New Roman" w:hAnsi="Times New Roman" w:cs="Times New Roman"/>
        </w:rPr>
        <w:t>供应设施用地、道路与交通设施用地等，通过城市公益性基础设施配套建设，有利于维持经济社会持续运行，促进云城区区域基础设施高质量发展。</w:t>
      </w:r>
    </w:p>
    <w:p>
      <w:pPr>
        <w:ind w:firstLine="560"/>
        <w:rPr>
          <w:rFonts w:eastAsia="仿宋_GB2312"/>
          <w:kern w:val="28"/>
          <w:szCs w:val="24"/>
        </w:rPr>
      </w:pPr>
      <w:r>
        <w:rPr>
          <w:rFonts w:hint="default" w:ascii="Times New Roman" w:hAnsi="Times New Roman" w:cs="Times New Roman"/>
        </w:rPr>
        <w:t>本次土地征收成片开发围绕</w:t>
      </w:r>
      <w:r>
        <w:rPr>
          <w:rFonts w:hint="default" w:ascii="Times New Roman" w:hAnsi="Times New Roman" w:cs="Times New Roman"/>
          <w:lang w:val="en-US" w:eastAsia="zh-CN"/>
        </w:rPr>
        <w:t>东海钢铁项目</w:t>
      </w:r>
      <w:r>
        <w:rPr>
          <w:rFonts w:hint="default" w:ascii="Times New Roman" w:hAnsi="Times New Roman" w:cs="Times New Roman"/>
        </w:rPr>
        <w:t>、佛山（云浮）产业转移工业园区、</w:t>
      </w:r>
      <w:r>
        <w:rPr>
          <w:rFonts w:hint="default" w:ascii="Times New Roman" w:hAnsi="Times New Roman" w:cs="Times New Roman"/>
          <w:lang w:val="en-US" w:eastAsia="zh-CN"/>
        </w:rPr>
        <w:t>安塘石材基地</w:t>
      </w:r>
      <w:r>
        <w:rPr>
          <w:rFonts w:hint="default" w:ascii="Times New Roman" w:hAnsi="Times New Roman" w:cs="Times New Roman"/>
        </w:rPr>
        <w:t>等工业产业园区合理配置城市公益性基础设施的布局，保障基础设施布局完善，加大覆盖服务人群数量，保障公益性基础设施的服务效率；随着产业园区的开发与周围基础设施的配置，通过经营性创收、财产性创收、工资性创收以及企业分红等多种方式可以实现当地农民增收，提升人民生活品质；通过改善产业园区公共服务设施现状水平，有利于全面提升园区整体建设质量，此外，工业园区的兴建也可以为当地居民提供大量的就业岗位，吸纳云城区各类人员创业就业，减少云城区人口外流。</w:t>
      </w:r>
    </w:p>
    <w:p>
      <w:pPr>
        <w:pStyle w:val="11"/>
        <w:rPr>
          <w:rFonts w:ascii="Times New Roman" w:hAnsi="Times New Roman"/>
        </w:rPr>
      </w:pPr>
      <w:r>
        <w:rPr>
          <w:rFonts w:ascii="Times New Roman" w:hAnsi="Times New Roman"/>
        </w:rPr>
        <w:t>（三）生态效益</w:t>
      </w:r>
    </w:p>
    <w:p>
      <w:pPr>
        <w:rPr>
          <w:rFonts w:hint="eastAsia" w:eastAsia="仿宋_GB2312"/>
          <w:kern w:val="28"/>
          <w:szCs w:val="24"/>
        </w:rPr>
      </w:pPr>
      <w:r>
        <w:rPr>
          <w:rFonts w:hint="eastAsia" w:eastAsia="仿宋_GB2312"/>
          <w:kern w:val="28"/>
          <w:szCs w:val="24"/>
        </w:rPr>
        <w:t>本次土地征收成片开发符合生态环境保护要求，土地征收成片开发范围不涉及永久基本农田、自然保护地等生态底线管控要素，对提升保护云城区生态环境、提升生态品质等方面具有积极作用。土地征收成片开发范围内的项目建设，将结合项目类型采取有效的环境保护措施，避免对区域大气环境、生态环境、地下水环境、土壤环境产生超出环境容量的影响，减少对区域生态环境品质产生不利影响。</w:t>
      </w:r>
    </w:p>
    <w:p>
      <w:pPr>
        <w:rPr>
          <w:rFonts w:hint="eastAsia" w:eastAsia="仿宋_GB2312"/>
          <w:kern w:val="28"/>
          <w:szCs w:val="24"/>
        </w:rPr>
      </w:pPr>
      <w:r>
        <w:rPr>
          <w:rFonts w:hint="eastAsia" w:eastAsia="仿宋_GB2312"/>
          <w:kern w:val="28"/>
          <w:szCs w:val="24"/>
        </w:rPr>
        <w:t>成片开发范围内拟安排建设项目将致力于优化生态空间布局，突出城乡建设与产业发展并举，加快建立以产业生态化为主体的生态经济体系，强化产业园区环保基础设施建设，坚决扛起筑牢北部生态屏障的政治担当，把生态优先贯穿经济社会发展各方面和全过程，努力改善生态环境，强化资源节约利用，不断把生态优势转变成发展优势，打造湾区生态“涵养地”。</w:t>
      </w:r>
    </w:p>
    <w:p>
      <w:pPr>
        <w:rPr>
          <w:rFonts w:hint="eastAsia" w:eastAsia="仿宋_GB2312"/>
          <w:kern w:val="28"/>
          <w:szCs w:val="24"/>
        </w:rPr>
      </w:pPr>
    </w:p>
    <w:p>
      <w:pPr>
        <w:rPr>
          <w:rFonts w:hint="eastAsia" w:eastAsia="仿宋_GB2312"/>
          <w:kern w:val="28"/>
          <w:szCs w:val="24"/>
        </w:rPr>
      </w:pPr>
    </w:p>
    <w:p>
      <w:pPr>
        <w:rPr>
          <w:rFonts w:hint="eastAsia" w:eastAsia="仿宋_GB2312"/>
          <w:kern w:val="28"/>
          <w:szCs w:val="24"/>
        </w:rPr>
      </w:pPr>
    </w:p>
    <w:p>
      <w:pPr>
        <w:pStyle w:val="10"/>
        <w:keepNext w:val="0"/>
        <w:keepLines w:val="0"/>
        <w:pageBreakBefore w:val="0"/>
        <w:widowControl/>
        <w:kinsoku/>
        <w:wordWrap/>
        <w:overflowPunct/>
        <w:topLinePunct w:val="0"/>
        <w:autoSpaceDE/>
        <w:autoSpaceDN/>
        <w:bidi w:val="0"/>
        <w:adjustRightInd/>
        <w:snapToGrid/>
        <w:spacing w:after="287" w:afterLines="75"/>
        <w:ind w:left="0"/>
        <w:textAlignment w:val="auto"/>
        <w:rPr>
          <w:rFonts w:ascii="Times New Roman" w:hAnsi="Times New Roman"/>
        </w:rPr>
      </w:pPr>
      <w:r>
        <w:rPr>
          <w:rFonts w:ascii="Times New Roman" w:hAnsi="Times New Roman"/>
        </w:rPr>
        <w:t>结论</w:t>
      </w:r>
    </w:p>
    <w:p>
      <w:pPr>
        <w:pStyle w:val="12"/>
        <w:spacing w:before="95" w:after="95"/>
        <w:ind w:firstLine="560"/>
        <w:rPr>
          <w:rFonts w:hint="eastAsia"/>
        </w:rPr>
      </w:pPr>
      <w:r>
        <w:rPr>
          <w:rFonts w:hint="eastAsia"/>
        </w:rPr>
        <w:t>1.本次土地征收成片开发方案坚持新发展理念，</w:t>
      </w:r>
      <w:r>
        <w:rPr>
          <w:rFonts w:hint="eastAsia"/>
          <w:lang w:eastAsia="zh-CN"/>
        </w:rPr>
        <w:t>坚持</w:t>
      </w:r>
      <w:r>
        <w:rPr>
          <w:rFonts w:hint="eastAsia"/>
        </w:rPr>
        <w:t>以人民为中心，注重保护耕地，注重维护农民合法权益，注重节约</w:t>
      </w:r>
      <w:bookmarkStart w:id="9" w:name="_GoBack"/>
      <w:bookmarkEnd w:id="9"/>
      <w:r>
        <w:rPr>
          <w:rFonts w:hint="eastAsia"/>
        </w:rPr>
        <w:t>集约用地，注重生态环境保护，能够促进当地经济社会可持续发展。</w:t>
      </w:r>
    </w:p>
    <w:p>
      <w:pPr>
        <w:pStyle w:val="12"/>
        <w:spacing w:before="95" w:after="95"/>
        <w:ind w:firstLine="560"/>
        <w:rPr>
          <w:rFonts w:hint="eastAsia"/>
        </w:rPr>
      </w:pPr>
      <w:r>
        <w:rPr>
          <w:rFonts w:hint="eastAsia"/>
        </w:rPr>
        <w:t>2.本次土地征收成片开发方案符合国民经济和社会发展规划，土地征收成片开发范围内开发地块位于云城区土地利用总体规划确定的城镇建设用地或城市、镇总体规划确定的建设用地范围内。此外，本方案与云城区正在编制的国土空间规划充分衔接。</w:t>
      </w:r>
    </w:p>
    <w:p>
      <w:pPr>
        <w:pStyle w:val="12"/>
        <w:spacing w:before="95" w:after="95"/>
        <w:ind w:firstLine="560"/>
        <w:rPr>
          <w:rFonts w:hint="eastAsia"/>
        </w:rPr>
      </w:pPr>
      <w:r>
        <w:rPr>
          <w:rFonts w:hint="eastAsia"/>
        </w:rPr>
        <w:t>3.本次土地征收成片开发方案中，各个完整的土地征收成片开发范围片区内基础设施、公共服务设施及其他公益性用地比例均不低于40%，符合国家文件要求。</w:t>
      </w:r>
    </w:p>
    <w:p>
      <w:pPr>
        <w:pStyle w:val="12"/>
        <w:spacing w:before="95" w:after="95"/>
        <w:ind w:firstLine="560"/>
        <w:rPr>
          <w:rFonts w:hint="eastAsia"/>
        </w:rPr>
      </w:pPr>
      <w:r>
        <w:rPr>
          <w:rFonts w:hint="eastAsia"/>
        </w:rPr>
        <w:t>4.本次土地征收成片开发方案不涉及占用永久基本农田和生态保护红线，云城区近五年不存在大量批而未供和闲置土地情况，不存在土地利用效率低下的情况。本次土地征收成片开发不涉及底线管控内容，土地征收成片开发方案符合上报审查要求。</w:t>
      </w:r>
    </w:p>
    <w:p>
      <w:pPr>
        <w:pStyle w:val="12"/>
        <w:spacing w:before="95" w:after="95"/>
        <w:ind w:firstLine="560"/>
      </w:pPr>
      <w:r>
        <w:t>综上所述，</w:t>
      </w:r>
      <w:r>
        <w:rPr>
          <w:rFonts w:hint="eastAsia"/>
          <w:lang w:eastAsia="zh-CN"/>
        </w:rPr>
        <w:t>云城区</w:t>
      </w:r>
      <w:r>
        <w:t>土地征收成片开发方案符合政策要求、程序规范；土地征收实施计划安排合理、可行性高；成片开发能带来较大的土地利用、经济、社会和生态效益。</w:t>
      </w:r>
    </w:p>
    <w:p>
      <w:pPr>
        <w:pStyle w:val="12"/>
        <w:spacing w:before="95" w:after="95"/>
        <w:ind w:firstLine="562"/>
        <w:rPr>
          <w:b/>
        </w:rPr>
      </w:pPr>
    </w:p>
    <w:p>
      <w:pPr>
        <w:pStyle w:val="12"/>
        <w:spacing w:before="95" w:after="95"/>
        <w:ind w:firstLine="562"/>
        <w:rPr>
          <w:b/>
        </w:rPr>
        <w:sectPr>
          <w:headerReference r:id="rId11" w:type="default"/>
          <w:footerReference r:id="rId12" w:type="default"/>
          <w:pgSz w:w="11906" w:h="16838"/>
          <w:pgMar w:top="1440" w:right="1800" w:bottom="1440" w:left="1800" w:header="851" w:footer="850" w:gutter="0"/>
          <w:pgNumType w:start="1"/>
          <w:cols w:space="720" w:num="1"/>
          <w:docGrid w:type="lines" w:linePitch="381" w:charSpace="0"/>
        </w:sectPr>
      </w:pPr>
      <w:r>
        <w:rPr>
          <w:b/>
        </w:rPr>
        <w:t>附件：云浮市</w:t>
      </w:r>
      <w:r>
        <w:rPr>
          <w:rFonts w:hint="eastAsia"/>
          <w:b/>
          <w:lang w:eastAsia="zh-CN"/>
        </w:rPr>
        <w:t>云城区2022年度</w:t>
      </w:r>
      <w:r>
        <w:rPr>
          <w:b/>
        </w:rPr>
        <w:t>土地征收成片开发方案片区位置示意图</w:t>
      </w:r>
    </w:p>
    <w:p>
      <w:pPr>
        <w:pStyle w:val="11"/>
        <w:rPr>
          <w:rFonts w:ascii="Times New Roman" w:hAnsi="Times New Roman"/>
          <w:sz w:val="28"/>
          <w:szCs w:val="24"/>
        </w:rPr>
        <w:sectPr>
          <w:footerReference r:id="rId13" w:type="default"/>
          <w:type w:val="continuous"/>
          <w:pgSz w:w="11906" w:h="16838"/>
          <w:pgMar w:top="720" w:right="720" w:bottom="720" w:left="720" w:header="851" w:footer="992" w:gutter="0"/>
          <w:cols w:space="720" w:num="1"/>
          <w:docGrid w:type="lines" w:linePitch="381" w:charSpace="0"/>
        </w:sectPr>
      </w:pPr>
    </w:p>
    <w:p>
      <w:pPr>
        <w:pStyle w:val="11"/>
        <w:jc w:val="center"/>
        <w:rPr>
          <w:rFonts w:ascii="Times New Roman" w:hAnsi="Times New Roman"/>
          <w:sz w:val="28"/>
          <w:szCs w:val="24"/>
        </w:rPr>
      </w:pPr>
      <w:r>
        <w:rPr>
          <w:rFonts w:ascii="Times New Roman" w:hAnsi="Times New Roman"/>
        </w:rPr>
        <w:drawing>
          <wp:inline distT="0" distB="0" distL="114300" distR="114300">
            <wp:extent cx="7919720" cy="5599430"/>
            <wp:effectExtent l="0" t="0" r="5080" b="8890"/>
            <wp:docPr id="1" name="图片 6" descr="F:\2022云城区成片开发方案\000云城区2022年成片开发方案\04 图件\01 位置示意图-总.jpg01 位置示意图-总"/>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6" descr="F:\2022云城区成片开发方案\000云城区2022年成片开发方案\04 图件\01 位置示意图-总.jpg01 位置示意图-总"/>
                    <pic:cNvPicPr>
                      <a:picLocks noChangeAspect="true"/>
                    </pic:cNvPicPr>
                  </pic:nvPicPr>
                  <pic:blipFill>
                    <a:blip r:embed="rId15">
                      <a:lum/>
                    </a:blip>
                    <a:srcRect/>
                    <a:stretch>
                      <a:fillRect/>
                    </a:stretch>
                  </pic:blipFill>
                  <pic:spPr>
                    <a:xfrm>
                      <a:off x="0" y="0"/>
                      <a:ext cx="7920000" cy="5599430"/>
                    </a:xfrm>
                    <a:prstGeom prst="rect">
                      <a:avLst/>
                    </a:prstGeom>
                    <a:noFill/>
                    <a:ln>
                      <a:noFill/>
                    </a:ln>
                  </pic:spPr>
                </pic:pic>
              </a:graphicData>
            </a:graphic>
          </wp:inline>
        </w:drawing>
      </w:r>
    </w:p>
    <w:p>
      <w:pPr>
        <w:ind w:firstLine="0" w:firstLineChars="0"/>
        <w:jc w:val="center"/>
      </w:pPr>
      <w:r>
        <w:rPr>
          <w:rFonts w:eastAsia="仿宋_GB2312"/>
          <w:kern w:val="28"/>
          <w:szCs w:val="24"/>
        </w:rPr>
        <w:drawing>
          <wp:inline distT="0" distB="0" distL="114300" distR="114300">
            <wp:extent cx="7919085" cy="5599430"/>
            <wp:effectExtent l="0" t="0" r="5715" b="8890"/>
            <wp:docPr id="2" name="图片 6" descr="F:\2022云城区成片开发方案\000云城区2022年成片开发方案\04 图件\05 影像图-东海.jpg05 影像图-东海"/>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6" descr="F:\2022云城区成片开发方案\000云城区2022年成片开发方案\04 图件\05 影像图-东海.jpg05 影像图-东海"/>
                    <pic:cNvPicPr>
                      <a:picLocks noChangeAspect="true"/>
                    </pic:cNvPicPr>
                  </pic:nvPicPr>
                  <pic:blipFill>
                    <a:blip r:embed="rId16">
                      <a:lum/>
                    </a:blip>
                    <a:srcRect/>
                    <a:stretch>
                      <a:fillRect/>
                    </a:stretch>
                  </pic:blipFill>
                  <pic:spPr>
                    <a:xfrm>
                      <a:off x="0" y="0"/>
                      <a:ext cx="7919085" cy="5599744"/>
                    </a:xfrm>
                    <a:prstGeom prst="rect">
                      <a:avLst/>
                    </a:prstGeom>
                    <a:noFill/>
                    <a:ln>
                      <a:noFill/>
                    </a:ln>
                  </pic:spPr>
                </pic:pic>
              </a:graphicData>
            </a:graphic>
          </wp:inline>
        </w:drawing>
      </w:r>
    </w:p>
    <w:p>
      <w:pPr>
        <w:ind w:firstLine="0" w:firstLineChars="0"/>
        <w:jc w:val="center"/>
        <w:rPr>
          <w:rFonts w:eastAsia="仿宋_GB2312"/>
          <w:kern w:val="28"/>
          <w:szCs w:val="24"/>
        </w:rPr>
      </w:pPr>
      <w:r>
        <w:rPr>
          <w:rFonts w:eastAsia="仿宋_GB2312"/>
          <w:kern w:val="28"/>
          <w:szCs w:val="24"/>
        </w:rPr>
        <w:drawing>
          <wp:inline distT="0" distB="0" distL="114300" distR="114300">
            <wp:extent cx="7919720" cy="5599430"/>
            <wp:effectExtent l="0" t="0" r="5080" b="8890"/>
            <wp:docPr id="3" name="图片 6" descr="F:\2022云城区成片开发方案\000云城区2022年成片开发方案\04 图件\05 影像图-安塘石材基地.jpg05 影像图-安塘石材基地"/>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6" descr="F:\2022云城区成片开发方案\000云城区2022年成片开发方案\04 图件\05 影像图-安塘石材基地.jpg05 影像图-安塘石材基地"/>
                    <pic:cNvPicPr>
                      <a:picLocks noChangeAspect="true"/>
                    </pic:cNvPicPr>
                  </pic:nvPicPr>
                  <pic:blipFill>
                    <a:blip r:embed="rId17">
                      <a:lum/>
                    </a:blip>
                    <a:srcRect/>
                    <a:stretch>
                      <a:fillRect/>
                    </a:stretch>
                  </pic:blipFill>
                  <pic:spPr>
                    <a:xfrm>
                      <a:off x="0" y="0"/>
                      <a:ext cx="7920000" cy="5599430"/>
                    </a:xfrm>
                    <a:prstGeom prst="rect">
                      <a:avLst/>
                    </a:prstGeom>
                    <a:noFill/>
                    <a:ln>
                      <a:noFill/>
                    </a:ln>
                  </pic:spPr>
                </pic:pic>
              </a:graphicData>
            </a:graphic>
          </wp:inline>
        </w:drawing>
      </w:r>
    </w:p>
    <w:p>
      <w:pPr>
        <w:ind w:firstLine="0" w:firstLineChars="0"/>
        <w:jc w:val="both"/>
        <w:rPr>
          <w:rFonts w:eastAsia="仿宋_GB2312"/>
          <w:kern w:val="28"/>
          <w:szCs w:val="24"/>
        </w:rPr>
      </w:pPr>
      <w:r>
        <w:rPr>
          <w:rFonts w:hint="eastAsia" w:eastAsia="仿宋_GB2312"/>
          <w:kern w:val="28"/>
          <w:szCs w:val="24"/>
          <w:lang w:val="en-US" w:eastAsia="zh-CN"/>
        </w:rPr>
        <w:t xml:space="preserve">          </w:t>
      </w:r>
      <w:r>
        <w:rPr>
          <w:rFonts w:eastAsia="仿宋_GB2312"/>
          <w:kern w:val="28"/>
          <w:szCs w:val="24"/>
        </w:rPr>
        <w:drawing>
          <wp:inline distT="0" distB="0" distL="114300" distR="114300">
            <wp:extent cx="7919085" cy="5599430"/>
            <wp:effectExtent l="0" t="0" r="5715" b="8890"/>
            <wp:docPr id="4" name="图片 6" descr="F:\2022云城区成片开发方案\000云城区2022年成片开发方案\04 图件\05 影像图-佛云园.jpg05 影像图-佛云园"/>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6" descr="F:\2022云城区成片开发方案\000云城区2022年成片开发方案\04 图件\05 影像图-佛云园.jpg05 影像图-佛云园"/>
                    <pic:cNvPicPr>
                      <a:picLocks noChangeAspect="true"/>
                    </pic:cNvPicPr>
                  </pic:nvPicPr>
                  <pic:blipFill>
                    <a:blip r:embed="rId18">
                      <a:lum/>
                    </a:blip>
                    <a:srcRect/>
                    <a:stretch>
                      <a:fillRect/>
                    </a:stretch>
                  </pic:blipFill>
                  <pic:spPr>
                    <a:xfrm>
                      <a:off x="0" y="0"/>
                      <a:ext cx="7919085" cy="5599430"/>
                    </a:xfrm>
                    <a:prstGeom prst="rect">
                      <a:avLst/>
                    </a:prstGeom>
                    <a:noFill/>
                    <a:ln>
                      <a:noFill/>
                    </a:ln>
                  </pic:spPr>
                </pic:pic>
              </a:graphicData>
            </a:graphic>
          </wp:inline>
        </w:drawing>
      </w:r>
    </w:p>
    <w:sectPr>
      <w:pgSz w:w="16838" w:h="11906" w:orient="landscape"/>
      <w:pgMar w:top="720" w:right="720" w:bottom="720" w:left="720" w:header="851" w:footer="992" w:gutter="0"/>
      <w:cols w:space="720"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2010600030101010101"/>
    <w:charset w:val="80"/>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微软雅黑"/>
    <w:panose1 w:val="020F0502020204030204"/>
    <w:charset w:val="00"/>
    <w:family w:val="swiss"/>
    <w:pitch w:val="default"/>
    <w:sig w:usb0="00000000" w:usb1="00000000" w:usb2="00000001" w:usb3="00000000" w:csb0="0000019F" w:csb1="00000000"/>
  </w:font>
  <w:font w:name="仿宋">
    <w:altName w:val="微软雅黑"/>
    <w:panose1 w:val="02010609060101010101"/>
    <w:charset w:val="86"/>
    <w:family w:val="modern"/>
    <w:pitch w:val="default"/>
    <w:sig w:usb0="00000000" w:usb1="00000000" w:usb2="00000016" w:usb3="00000000" w:csb0="00040001" w:csb1="00000000"/>
  </w:font>
  <w:font w:name="楷体">
    <w:altName w:val="方正楷体_GBK"/>
    <w:panose1 w:val="02010609060101010101"/>
    <w:charset w:val="86"/>
    <w:family w:val="modern"/>
    <w:pitch w:val="default"/>
    <w:sig w:usb0="00000000" w:usb1="00000000"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微软雅黑">
    <w:panose1 w:val="020B0503020204020204"/>
    <w:charset w:val="86"/>
    <w:family w:val="auto"/>
    <w:pitch w:val="default"/>
    <w:sig w:usb0="80000287" w:usb1="2A0F3C52" w:usb2="00000016" w:usb3="00000000" w:csb0="0004001F"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480"/>
      <w:rPr>
        <w:sz w:val="24"/>
      </w:rPr>
    </w:pPr>
  </w:p>
  <w:p>
    <w:pPr>
      <w:pStyle w:val="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560"/>
      <w:jc w:val="center"/>
      <w:rPr>
        <w:sz w:val="28"/>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40788D"/>
    <w:multiLevelType w:val="multilevel"/>
    <w:tmpl w:val="1C40788D"/>
    <w:lvl w:ilvl="0" w:tentative="0">
      <w:start w:val="1"/>
      <w:numFmt w:val="decimal"/>
      <w:lvlText w:val="表%1"/>
      <w:lvlJc w:val="center"/>
      <w:pPr>
        <w:ind w:left="420" w:hanging="132"/>
      </w:pPr>
      <w:rPr>
        <w:rFonts w:hint="default" w:ascii="Times New Roman" w:hAnsi="Times New Roman" w:eastAsia="黑体"/>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1E407E9"/>
    <w:multiLevelType w:val="multilevel"/>
    <w:tmpl w:val="41E407E9"/>
    <w:lvl w:ilvl="0" w:tentative="0">
      <w:start w:val="1"/>
      <w:numFmt w:val="chineseCountingThousand"/>
      <w:pStyle w:val="10"/>
      <w:lvlText w:val="%1、"/>
      <w:lvlJc w:val="left"/>
      <w:pPr>
        <w:ind w:left="420" w:hanging="420"/>
      </w:pPr>
      <w:rPr>
        <w:rFonts w:hint="eastAsia"/>
        <w:b w:val="0"/>
        <w:i w:val="0"/>
        <w:sz w:val="36"/>
        <w:szCs w:val="36"/>
      </w:rPr>
    </w:lvl>
    <w:lvl w:ilvl="1" w:tentative="0">
      <w:start w:val="1"/>
      <w:numFmt w:val="decimal"/>
      <w:lvlText w:val="%1.%2"/>
      <w:lvlJc w:val="left"/>
      <w:pPr>
        <w:ind w:left="850" w:hanging="425"/>
      </w:pPr>
      <w:rPr>
        <w:rFonts w:hint="eastAsia" w:eastAsia="楷体"/>
        <w:b/>
        <w:i w:val="0"/>
        <w:sz w:val="32"/>
      </w:rPr>
    </w:lvl>
    <w:lvl w:ilvl="2" w:tentative="0">
      <w:start w:val="1"/>
      <w:numFmt w:val="decimal"/>
      <w:lvlText w:val="%1.%2.%3"/>
      <w:lvlJc w:val="left"/>
      <w:pPr>
        <w:ind w:left="1275" w:hanging="425"/>
      </w:pPr>
      <w:rPr>
        <w:rFonts w:hint="eastAsia" w:eastAsia="仿宋"/>
        <w:b/>
        <w:i w:val="0"/>
        <w:sz w:val="28"/>
      </w:rPr>
    </w:lvl>
    <w:lvl w:ilvl="3" w:tentative="0">
      <w:start w:val="1"/>
      <w:numFmt w:val="decimal"/>
      <w:lvlText w:val="%1.%2.%3.%4"/>
      <w:lvlJc w:val="left"/>
      <w:pPr>
        <w:ind w:left="1842" w:hanging="425"/>
      </w:pPr>
      <w:rPr>
        <w:rFonts w:hint="eastAsia" w:eastAsia="仿宋"/>
        <w:b w:val="0"/>
        <w:i w:val="0"/>
        <w:sz w:val="28"/>
      </w:rPr>
    </w:lvl>
    <w:lvl w:ilvl="4" w:tentative="0">
      <w:start w:val="1"/>
      <w:numFmt w:val="decimal"/>
      <w:lvlText w:val="%1.%2.%3.%4.%5"/>
      <w:lvlJc w:val="left"/>
      <w:pPr>
        <w:ind w:left="2125" w:hanging="425"/>
      </w:pPr>
      <w:rPr>
        <w:rFonts w:hint="eastAsia"/>
      </w:rPr>
    </w:lvl>
    <w:lvl w:ilvl="5" w:tentative="0">
      <w:start w:val="1"/>
      <w:numFmt w:val="decimal"/>
      <w:lvlText w:val="%1.%2.%3.%4.%5.%6"/>
      <w:lvlJc w:val="left"/>
      <w:pPr>
        <w:ind w:left="2550" w:hanging="425"/>
      </w:pPr>
      <w:rPr>
        <w:rFonts w:hint="eastAsia"/>
      </w:rPr>
    </w:lvl>
    <w:lvl w:ilvl="6" w:tentative="0">
      <w:start w:val="1"/>
      <w:numFmt w:val="decimal"/>
      <w:lvlText w:val="%1.%2.%3.%4.%5.%6.%7"/>
      <w:lvlJc w:val="left"/>
      <w:pPr>
        <w:ind w:left="2975" w:hanging="425"/>
      </w:pPr>
      <w:rPr>
        <w:rFonts w:hint="eastAsia"/>
      </w:rPr>
    </w:lvl>
    <w:lvl w:ilvl="7" w:tentative="0">
      <w:start w:val="1"/>
      <w:numFmt w:val="decimal"/>
      <w:lvlText w:val="%1.%2.%3.%4.%5.%6.%7.%8"/>
      <w:lvlJc w:val="left"/>
      <w:pPr>
        <w:ind w:left="3400" w:hanging="425"/>
      </w:pPr>
      <w:rPr>
        <w:rFonts w:hint="eastAsia"/>
      </w:rPr>
    </w:lvl>
    <w:lvl w:ilvl="8" w:tentative="0">
      <w:start w:val="1"/>
      <w:numFmt w:val="decimal"/>
      <w:lvlText w:val="%1.%2.%3.%4.%5.%6.%7.%8.%9"/>
      <w:lvlJc w:val="left"/>
      <w:pPr>
        <w:ind w:left="3825" w:hanging="425"/>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false"/>
  <w:bordersDoNotSurroundFooter w:val="false"/>
  <w:documentProtection w:enforcement="0"/>
  <w:defaultTabStop w:val="420"/>
  <w:drawingGridHorizontalSpacing w:val="140"/>
  <w:drawingGridVerticalSpacing w:val="381"/>
  <w:displayHorizontalDrawingGridEvery w:val="1"/>
  <w:displayVerticalDrawingGridEvery w:val="1"/>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
  <w:docVars>
    <w:docVar w:name="commondata" w:val="eyJoZGlkIjoiOTA4NmJiNTY1ZDVmNDM3OWI0MjcxOGRjOWRkNjBjZTkifQ=="/>
  </w:docVars>
  <w:rsids>
    <w:rsidRoot w:val="004057B8"/>
    <w:rsid w:val="000415E9"/>
    <w:rsid w:val="000716BE"/>
    <w:rsid w:val="0008435B"/>
    <w:rsid w:val="00086A11"/>
    <w:rsid w:val="000E6058"/>
    <w:rsid w:val="001463D1"/>
    <w:rsid w:val="001F30C2"/>
    <w:rsid w:val="00200337"/>
    <w:rsid w:val="002375EC"/>
    <w:rsid w:val="00240753"/>
    <w:rsid w:val="00286776"/>
    <w:rsid w:val="002C6EC5"/>
    <w:rsid w:val="00311036"/>
    <w:rsid w:val="00321EF2"/>
    <w:rsid w:val="00351B4C"/>
    <w:rsid w:val="00401B4A"/>
    <w:rsid w:val="004057B8"/>
    <w:rsid w:val="004C01F5"/>
    <w:rsid w:val="00576734"/>
    <w:rsid w:val="00622D25"/>
    <w:rsid w:val="00627875"/>
    <w:rsid w:val="00660C6B"/>
    <w:rsid w:val="006878D5"/>
    <w:rsid w:val="007104E5"/>
    <w:rsid w:val="00753CC4"/>
    <w:rsid w:val="00762AD2"/>
    <w:rsid w:val="00795AB2"/>
    <w:rsid w:val="007D4A65"/>
    <w:rsid w:val="00814BA5"/>
    <w:rsid w:val="008360DE"/>
    <w:rsid w:val="00981680"/>
    <w:rsid w:val="009C156E"/>
    <w:rsid w:val="009E3927"/>
    <w:rsid w:val="00A55CCE"/>
    <w:rsid w:val="00A805B0"/>
    <w:rsid w:val="00B40B8D"/>
    <w:rsid w:val="00CB5895"/>
    <w:rsid w:val="00D028DD"/>
    <w:rsid w:val="00D24854"/>
    <w:rsid w:val="00D434B4"/>
    <w:rsid w:val="00D870E0"/>
    <w:rsid w:val="00E732A2"/>
    <w:rsid w:val="00F060AC"/>
    <w:rsid w:val="00F44F69"/>
    <w:rsid w:val="00FB2328"/>
    <w:rsid w:val="00FD37CE"/>
    <w:rsid w:val="04125544"/>
    <w:rsid w:val="0B4B7E79"/>
    <w:rsid w:val="0B753423"/>
    <w:rsid w:val="0C91467A"/>
    <w:rsid w:val="0DB51C8D"/>
    <w:rsid w:val="0ECA1CDC"/>
    <w:rsid w:val="1571672E"/>
    <w:rsid w:val="15B21729"/>
    <w:rsid w:val="162A6C5C"/>
    <w:rsid w:val="19882298"/>
    <w:rsid w:val="1BC97D2F"/>
    <w:rsid w:val="20AE6A88"/>
    <w:rsid w:val="27DC212D"/>
    <w:rsid w:val="29F64FFC"/>
    <w:rsid w:val="2D2105E2"/>
    <w:rsid w:val="2F134449"/>
    <w:rsid w:val="3187277F"/>
    <w:rsid w:val="325A22A3"/>
    <w:rsid w:val="33A1074F"/>
    <w:rsid w:val="342777FF"/>
    <w:rsid w:val="3A7F1B92"/>
    <w:rsid w:val="4529367E"/>
    <w:rsid w:val="4827595C"/>
    <w:rsid w:val="49641B2B"/>
    <w:rsid w:val="4B0340A4"/>
    <w:rsid w:val="4EED584D"/>
    <w:rsid w:val="4F1A6E56"/>
    <w:rsid w:val="5018495D"/>
    <w:rsid w:val="539611B8"/>
    <w:rsid w:val="55812FA7"/>
    <w:rsid w:val="567333AD"/>
    <w:rsid w:val="57454D4A"/>
    <w:rsid w:val="57BF1DE0"/>
    <w:rsid w:val="5895585D"/>
    <w:rsid w:val="5F0751B6"/>
    <w:rsid w:val="62E977D4"/>
    <w:rsid w:val="659A08AA"/>
    <w:rsid w:val="65CE295E"/>
    <w:rsid w:val="6D0B5583"/>
    <w:rsid w:val="75A90742"/>
    <w:rsid w:val="7E516E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qFormat="1" w:unhideWhenUsed="0" w:uiPriority="99"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120" w:after="120" w:line="360" w:lineRule="auto"/>
      <w:ind w:firstLine="200" w:firstLineChars="200"/>
      <w:jc w:val="both"/>
    </w:pPr>
    <w:rPr>
      <w:rFonts w:ascii="Times New Roman" w:hAnsi="Times New Roman" w:eastAsia="仿宋" w:cs="Times New Roman"/>
      <w:kern w:val="2"/>
      <w:sz w:val="28"/>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15"/>
    <w:qFormat/>
    <w:uiPriority w:val="99"/>
    <w:pPr>
      <w:spacing w:before="0" w:after="0" w:line="500" w:lineRule="exact"/>
      <w:ind w:firstLine="0" w:firstLineChars="0"/>
    </w:pPr>
    <w:rPr>
      <w:rFonts w:ascii="宋体" w:hAnsi="Courier New" w:eastAsia="宋体" w:cs="Courier New"/>
      <w:sz w:val="24"/>
      <w:szCs w:val="21"/>
    </w:rPr>
  </w:style>
  <w:style w:type="paragraph" w:styleId="3">
    <w:name w:val="Balloon Text"/>
    <w:basedOn w:val="1"/>
    <w:link w:val="23"/>
    <w:semiHidden/>
    <w:unhideWhenUsed/>
    <w:qFormat/>
    <w:uiPriority w:val="0"/>
    <w:pPr>
      <w:spacing w:before="0" w:after="0" w:line="240" w:lineRule="auto"/>
    </w:pPr>
    <w:rPr>
      <w:sz w:val="18"/>
      <w:szCs w:val="18"/>
    </w:rPr>
  </w:style>
  <w:style w:type="paragraph" w:styleId="4">
    <w:name w:val="footer"/>
    <w:basedOn w:val="1"/>
    <w:link w:val="17"/>
    <w:unhideWhenUsed/>
    <w:qFormat/>
    <w:uiPriority w:val="99"/>
    <w:pPr>
      <w:tabs>
        <w:tab w:val="center" w:pos="4153"/>
        <w:tab w:val="right" w:pos="8306"/>
      </w:tabs>
      <w:snapToGrid w:val="0"/>
      <w:jc w:val="left"/>
    </w:pPr>
    <w:rPr>
      <w:sz w:val="18"/>
      <w:szCs w:val="18"/>
    </w:rPr>
  </w:style>
  <w:style w:type="paragraph" w:styleId="5">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unhideWhenUsed/>
    <w:qFormat/>
    <w:uiPriority w:val="39"/>
    <w:pPr>
      <w:tabs>
        <w:tab w:val="left" w:pos="479"/>
        <w:tab w:val="right" w:leader="dot" w:pos="8296"/>
      </w:tabs>
      <w:spacing w:line="240" w:lineRule="auto"/>
      <w:ind w:firstLine="0" w:firstLineChars="0"/>
      <w:jc w:val="center"/>
    </w:pPr>
    <w:rPr>
      <w:rFonts w:eastAsia="宋体"/>
      <w:b/>
      <w:sz w:val="22"/>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0">
    <w:name w:val="PG一级标题"/>
    <w:basedOn w:val="1"/>
    <w:link w:val="20"/>
    <w:qFormat/>
    <w:uiPriority w:val="0"/>
    <w:pPr>
      <w:widowControl/>
      <w:numPr>
        <w:ilvl w:val="0"/>
        <w:numId w:val="1"/>
      </w:numPr>
      <w:spacing w:before="95" w:beforeLines="25" w:after="95" w:afterLines="25"/>
      <w:ind w:firstLine="0" w:firstLineChars="0"/>
      <w:outlineLvl w:val="0"/>
    </w:pPr>
    <w:rPr>
      <w:rFonts w:ascii="黑体" w:hAnsi="黑体" w:eastAsia="黑体"/>
      <w:b/>
      <w:kern w:val="28"/>
      <w:sz w:val="36"/>
      <w:szCs w:val="30"/>
    </w:rPr>
  </w:style>
  <w:style w:type="paragraph" w:customStyle="1" w:styleId="11">
    <w:name w:val="PG二级标题"/>
    <w:basedOn w:val="1"/>
    <w:link w:val="21"/>
    <w:qFormat/>
    <w:uiPriority w:val="0"/>
    <w:pPr>
      <w:adjustRightInd w:val="0"/>
      <w:snapToGrid w:val="0"/>
      <w:spacing w:before="95" w:beforeLines="25" w:after="95" w:afterLines="25" w:line="300" w:lineRule="auto"/>
      <w:ind w:firstLine="0" w:firstLineChars="0"/>
      <w:outlineLvl w:val="1"/>
    </w:pPr>
    <w:rPr>
      <w:rFonts w:ascii="黑体" w:hAnsi="黑体" w:eastAsia="黑体"/>
      <w:b/>
      <w:kern w:val="28"/>
      <w:sz w:val="32"/>
      <w:szCs w:val="28"/>
    </w:rPr>
  </w:style>
  <w:style w:type="paragraph" w:customStyle="1" w:styleId="12">
    <w:name w:val="PG正文1"/>
    <w:basedOn w:val="1"/>
    <w:link w:val="22"/>
    <w:qFormat/>
    <w:uiPriority w:val="0"/>
    <w:pPr>
      <w:autoSpaceDE w:val="0"/>
      <w:autoSpaceDN w:val="0"/>
      <w:adjustRightInd w:val="0"/>
      <w:snapToGrid w:val="0"/>
      <w:spacing w:before="25" w:beforeLines="25" w:after="25" w:afterLines="25"/>
    </w:pPr>
    <w:rPr>
      <w:rFonts w:eastAsia="仿宋_GB2312"/>
      <w:kern w:val="28"/>
      <w:szCs w:val="24"/>
    </w:rPr>
  </w:style>
  <w:style w:type="paragraph" w:customStyle="1" w:styleId="13">
    <w:name w:val="表格1"/>
    <w:qFormat/>
    <w:uiPriority w:val="0"/>
    <w:pPr>
      <w:jc w:val="center"/>
    </w:pPr>
    <w:rPr>
      <w:rFonts w:ascii="Times New Roman" w:hAnsi="Times New Roman" w:eastAsia="宋体" w:cs="Times New Roman"/>
      <w:bCs/>
      <w:lang w:val="en-US" w:eastAsia="zh-CN" w:bidi="ar-SA"/>
    </w:rPr>
  </w:style>
  <w:style w:type="character" w:customStyle="1" w:styleId="14">
    <w:name w:val="纯文本 字符"/>
    <w:basedOn w:val="9"/>
    <w:semiHidden/>
    <w:qFormat/>
    <w:uiPriority w:val="99"/>
    <w:rPr>
      <w:rFonts w:ascii="等线" w:hAnsi="Courier New" w:cs="Courier New"/>
      <w:sz w:val="28"/>
    </w:rPr>
  </w:style>
  <w:style w:type="character" w:customStyle="1" w:styleId="15">
    <w:name w:val="纯文本 Char"/>
    <w:link w:val="2"/>
    <w:qFormat/>
    <w:uiPriority w:val="99"/>
    <w:rPr>
      <w:rFonts w:ascii="宋体" w:hAnsi="Courier New" w:eastAsia="宋体" w:cs="Courier New"/>
      <w:sz w:val="24"/>
      <w:szCs w:val="21"/>
    </w:rPr>
  </w:style>
  <w:style w:type="character" w:customStyle="1" w:styleId="16">
    <w:name w:val="页脚 字符"/>
    <w:basedOn w:val="9"/>
    <w:semiHidden/>
    <w:qFormat/>
    <w:uiPriority w:val="99"/>
    <w:rPr>
      <w:rFonts w:ascii="Times New Roman" w:hAnsi="Times New Roman" w:eastAsia="仿宋" w:cs="Times New Roman"/>
      <w:sz w:val="18"/>
      <w:szCs w:val="18"/>
    </w:rPr>
  </w:style>
  <w:style w:type="character" w:customStyle="1" w:styleId="17">
    <w:name w:val="页脚 Char"/>
    <w:link w:val="4"/>
    <w:qFormat/>
    <w:uiPriority w:val="99"/>
    <w:rPr>
      <w:rFonts w:ascii="Times New Roman" w:hAnsi="Times New Roman" w:eastAsia="仿宋" w:cs="Times New Roman"/>
      <w:sz w:val="18"/>
      <w:szCs w:val="18"/>
    </w:rPr>
  </w:style>
  <w:style w:type="character" w:customStyle="1" w:styleId="18">
    <w:name w:val="页眉 字符"/>
    <w:basedOn w:val="9"/>
    <w:semiHidden/>
    <w:qFormat/>
    <w:uiPriority w:val="99"/>
    <w:rPr>
      <w:rFonts w:ascii="Times New Roman" w:hAnsi="Times New Roman" w:eastAsia="仿宋" w:cs="Times New Roman"/>
      <w:sz w:val="18"/>
      <w:szCs w:val="18"/>
    </w:rPr>
  </w:style>
  <w:style w:type="character" w:customStyle="1" w:styleId="19">
    <w:name w:val="页眉 Char"/>
    <w:link w:val="5"/>
    <w:qFormat/>
    <w:uiPriority w:val="99"/>
    <w:rPr>
      <w:rFonts w:ascii="Times New Roman" w:hAnsi="Times New Roman" w:eastAsia="仿宋" w:cs="Times New Roman"/>
      <w:sz w:val="18"/>
      <w:szCs w:val="18"/>
    </w:rPr>
  </w:style>
  <w:style w:type="character" w:customStyle="1" w:styleId="20">
    <w:name w:val="PG一级标题 Char"/>
    <w:link w:val="10"/>
    <w:qFormat/>
    <w:uiPriority w:val="0"/>
    <w:rPr>
      <w:rFonts w:ascii="黑体" w:hAnsi="黑体" w:eastAsia="黑体" w:cs="Times New Roman"/>
      <w:b/>
      <w:kern w:val="28"/>
      <w:sz w:val="36"/>
      <w:szCs w:val="30"/>
    </w:rPr>
  </w:style>
  <w:style w:type="character" w:customStyle="1" w:styleId="21">
    <w:name w:val="PG二级标题 Char"/>
    <w:link w:val="11"/>
    <w:qFormat/>
    <w:uiPriority w:val="0"/>
    <w:rPr>
      <w:rFonts w:ascii="黑体" w:hAnsi="黑体" w:eastAsia="黑体" w:cs="Times New Roman"/>
      <w:b/>
      <w:kern w:val="28"/>
      <w:sz w:val="32"/>
      <w:szCs w:val="28"/>
    </w:rPr>
  </w:style>
  <w:style w:type="character" w:customStyle="1" w:styleId="22">
    <w:name w:val="PG正文1 Char"/>
    <w:link w:val="12"/>
    <w:qFormat/>
    <w:uiPriority w:val="0"/>
    <w:rPr>
      <w:rFonts w:ascii="Times New Roman" w:hAnsi="Times New Roman" w:eastAsia="仿宋_GB2312" w:cs="Times New Roman"/>
      <w:kern w:val="28"/>
      <w:sz w:val="28"/>
      <w:szCs w:val="24"/>
    </w:rPr>
  </w:style>
  <w:style w:type="character" w:customStyle="1" w:styleId="23">
    <w:name w:val="批注框文本 Char"/>
    <w:basedOn w:val="9"/>
    <w:link w:val="3"/>
    <w:semiHidden/>
    <w:qFormat/>
    <w:uiPriority w:val="0"/>
    <w:rPr>
      <w:rFonts w:eastAsia="仿宋"/>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4579</Words>
  <Characters>4845</Characters>
  <Lines>30</Lines>
  <Paragraphs>8</Paragraphs>
  <TotalTime>1</TotalTime>
  <ScaleCrop>false</ScaleCrop>
  <LinksUpToDate>false</LinksUpToDate>
  <CharactersWithSpaces>4860</CharactersWithSpaces>
  <Application>WPS Office_11.8.2.10489_F1E327BC-269C-435d-A152-05C5408002CA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2021-11-15T18:32:00Z</dcterms:created>
  <dc:creator>Administrator</dc:creator>
  <cp:lastModifiedBy>user1</cp:lastModifiedBy>
  <dcterms:modified xsi:type="dcterms:W3CDTF">2023-04-20T11:42:23Z</dcterms:modified>
  <dc:title>云浮市云安区2023年度土地征收</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2052-11.8.2.10489</vt:lpwstr>
  </property>
  <property fmtid="{D5CDD505-2E9C-101B-9397-08002B2CF9AE}" pid="3" name="ICV">
    <vt:lpwstr>35D0C74CAD814002ACF7D17C7C8DE9FF</vt:lpwstr>
  </property>
</Properties>
</file>