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云城区统计局</w:t>
      </w:r>
      <w:r>
        <w:rPr>
          <w:b/>
          <w:bCs/>
          <w:sz w:val="32"/>
          <w:szCs w:val="32"/>
        </w:rPr>
        <w:t>“双随机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bookmarkStart w:id="0" w:name="_GoBack"/>
      <w:bookmarkEnd w:id="0"/>
      <w:r>
        <w:rPr>
          <w:b/>
          <w:bCs/>
          <w:sz w:val="32"/>
          <w:szCs w:val="32"/>
        </w:rPr>
        <w:t>一公开”抽查事项清单</w:t>
      </w:r>
    </w:p>
    <w:tbl>
      <w:tblPr>
        <w:tblStyle w:val="7"/>
        <w:tblW w:w="5472" w:type="pct"/>
        <w:tblInd w:w="-60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4"/>
        <w:gridCol w:w="1416"/>
        <w:gridCol w:w="1414"/>
        <w:gridCol w:w="2664"/>
        <w:gridCol w:w="780"/>
        <w:gridCol w:w="1279"/>
        <w:gridCol w:w="13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679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检查项目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抽查事项</w:t>
            </w:r>
          </w:p>
        </w:tc>
        <w:tc>
          <w:tcPr>
            <w:tcW w:w="689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抽查依据</w:t>
            </w:r>
          </w:p>
        </w:tc>
        <w:tc>
          <w:tcPr>
            <w:tcW w:w="129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抽查内容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抽查主体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抽查比例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抽查方式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6" w:hRule="atLeast"/>
        </w:trPr>
        <w:tc>
          <w:tcPr>
            <w:tcW w:w="67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国家常规统计调查、部门统计调查、地方统计调查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调查对象依法提供统计资料情况</w:t>
            </w:r>
          </w:p>
        </w:tc>
        <w:tc>
          <w:tcPr>
            <w:tcW w:w="68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《中华人民共和国统计法》第七条、第二十一条第一款、第三十五条、第四十一条、第四十二条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《中华人民共和国统计法实施条例》第四条第三款、第十七条、第二十三条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《统计执法监督检查办法》第十四条、第二十条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《统计执法“双随机”抽查办法（试行）》第七条</w:t>
            </w:r>
          </w:p>
        </w:tc>
        <w:tc>
          <w:tcPr>
            <w:tcW w:w="129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1.调查对象是否提供统计资料；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2.调查对象提供的统计资料是否真实、准确、完整、及时；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3.调查对象是否迟报、拒报统计资料。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省、市、县统计局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省：0.1%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市：0.5%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县：3%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现场检查或书面检查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1" w:hRule="atLeast"/>
        </w:trPr>
        <w:tc>
          <w:tcPr>
            <w:tcW w:w="6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调查对象依法设置原始记录、统计台账情况</w:t>
            </w:r>
          </w:p>
        </w:tc>
        <w:tc>
          <w:tcPr>
            <w:tcW w:w="68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29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1.调查对象是否设置原始记录、统计台账；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2.原始记录、统计台账是否按时更新、记录；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3.原始记录、统计台账上记录的资料及信息是否真实、准确、完整；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4.原始记录、统计台账制度落实情况。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省、市、县统计局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省：0.1%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市：0.5%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县：3%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现场检查或书面检查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6" w:hRule="atLeast"/>
        </w:trPr>
        <w:tc>
          <w:tcPr>
            <w:tcW w:w="6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调查对象依法建立并执行统计资料管理制度情况</w:t>
            </w:r>
          </w:p>
        </w:tc>
        <w:tc>
          <w:tcPr>
            <w:tcW w:w="68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29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1.统计资料管理制度建设情况；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2.统计资料管理制度落实、执行情况。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省、市、县统计局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省：0.1%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市：0.5%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县：3%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现场检查或书面检查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6" w:hRule="atLeast"/>
        </w:trPr>
        <w:tc>
          <w:tcPr>
            <w:tcW w:w="6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调查对象依法为履行法定填报职责提供保障情况</w:t>
            </w:r>
          </w:p>
        </w:tc>
        <w:tc>
          <w:tcPr>
            <w:tcW w:w="68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29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1.调查对象是否配备专门人员填报统计报表；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2.调查对象设置的原始记录和统计台账是否至少保存2年。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省、市、县统计局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省：0.1%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市：0.5%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县：3%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现场检查或书面检查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8" w:hRule="atLeast"/>
        </w:trPr>
        <w:tc>
          <w:tcPr>
            <w:tcW w:w="6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调查对象依法配合统计调查和统计监督情况</w:t>
            </w:r>
          </w:p>
        </w:tc>
        <w:tc>
          <w:tcPr>
            <w:tcW w:w="68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29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1.调查对象是否拒绝、阻碍统计调查和统计监督；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2.调查对象是否转移、隐匿、篡改、毁弃统计资料；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3.调查对象是否拒绝答复或者不如实答复统计检查查询书，统计调查和统计监督过程中，是否如实回答询问、反映情况；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4.调查对象是否提供相关证明和资料，核实笔录；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5.调查对象是否在有关证明、资料和笔录上签字盖章；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6.调查对象是否为检查工作提供必要的条件保障。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省、市、县统计局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省：0.1%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市：0.5%</w:t>
            </w:r>
            <w:r>
              <w:rPr>
                <w:rFonts w:cs="Arial"/>
                <w:sz w:val="21"/>
                <w:szCs w:val="21"/>
              </w:rPr>
              <w:br w:type="textWrapping"/>
            </w:r>
            <w:r>
              <w:rPr>
                <w:rFonts w:cs="Arial"/>
                <w:sz w:val="21"/>
                <w:szCs w:val="21"/>
              </w:rPr>
              <w:t>县：3%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420" w:lineRule="atLeas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现场检查或书面检查</w:t>
            </w:r>
          </w:p>
        </w:tc>
      </w:tr>
    </w:tbl>
    <w:p/>
    <w:sectPr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40B74B8"/>
    <w:rsid w:val="0038516A"/>
    <w:rsid w:val="008B2A71"/>
    <w:rsid w:val="00EF0FED"/>
    <w:rsid w:val="0ECE06C8"/>
    <w:rsid w:val="340B74B8"/>
    <w:rsid w:val="3D7F1222"/>
    <w:rsid w:val="7E600B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ascii="Arial" w:hAnsi="Arial" w:eastAsia="宋体" w:cs="Times New Roman"/>
      <w:b/>
      <w:kern w:val="0"/>
      <w:sz w:val="18"/>
      <w:szCs w:val="18"/>
    </w:rPr>
  </w:style>
  <w:style w:type="paragraph" w:styleId="3">
    <w:name w:val="heading 6"/>
    <w:basedOn w:val="1"/>
    <w:next w:val="1"/>
    <w:semiHidden/>
    <w:unhideWhenUsed/>
    <w:qFormat/>
    <w:uiPriority w:val="0"/>
    <w:pPr>
      <w:jc w:val="left"/>
      <w:outlineLvl w:val="5"/>
    </w:pPr>
    <w:rPr>
      <w:rFonts w:ascii="Arial" w:hAnsi="Arial" w:eastAsia="宋体" w:cs="Times New Roman"/>
      <w:b/>
      <w:kern w:val="0"/>
      <w:sz w:val="18"/>
      <w:szCs w:val="1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Arial" w:hAnsi="Arial" w:cs="Times New Roman"/>
      <w:kern w:val="0"/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hint="default" w:ascii="Arial" w:hAnsi="Arial" w:cs="Arial"/>
      <w:color w:val="800080"/>
      <w:sz w:val="18"/>
      <w:szCs w:val="18"/>
      <w:u w:val="none"/>
    </w:rPr>
  </w:style>
  <w:style w:type="character" w:styleId="11">
    <w:name w:val="Hyperlink"/>
    <w:basedOn w:val="8"/>
    <w:qFormat/>
    <w:uiPriority w:val="0"/>
    <w:rPr>
      <w:rFonts w:hint="default" w:ascii="Arial" w:hAnsi="Arial" w:cs="Arial"/>
      <w:color w:val="0000FF"/>
      <w:sz w:val="18"/>
      <w:szCs w:val="18"/>
      <w:u w:val="none"/>
    </w:rPr>
  </w:style>
  <w:style w:type="character" w:customStyle="1" w:styleId="12">
    <w:name w:val="first-child"/>
    <w:basedOn w:val="8"/>
    <w:qFormat/>
    <w:uiPriority w:val="0"/>
  </w:style>
  <w:style w:type="character" w:customStyle="1" w:styleId="13">
    <w:name w:val="bsharetext"/>
    <w:basedOn w:val="8"/>
    <w:qFormat/>
    <w:uiPriority w:val="0"/>
  </w:style>
  <w:style w:type="character" w:customStyle="1" w:styleId="14">
    <w:name w:val="layui-layer-tabnow"/>
    <w:basedOn w:val="8"/>
    <w:qFormat/>
    <w:uiPriority w:val="0"/>
    <w:rPr>
      <w:bdr w:val="single" w:color="CCCCCC" w:sz="6" w:space="0"/>
      <w:shd w:val="clear" w:color="auto" w:fill="FFFFFF"/>
    </w:rPr>
  </w:style>
  <w:style w:type="character" w:customStyle="1" w:styleId="15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787</Characters>
  <Lines>6</Lines>
  <Paragraphs>1</Paragraphs>
  <TotalTime>1</TotalTime>
  <ScaleCrop>false</ScaleCrop>
  <LinksUpToDate>false</LinksUpToDate>
  <CharactersWithSpaces>924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2020-11-02T15:23:00Z</dcterms:created>
  <dc:creator>l</dc:creator>
  <cp:lastModifiedBy>user1</cp:lastModifiedBy>
  <cp:lastPrinted>2020-10-30T10:54:00Z</cp:lastPrinted>
  <dcterms:modified xsi:type="dcterms:W3CDTF">2023-07-20T10:21:12Z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